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78" w:rightChars="-85"/>
        <w:rPr>
          <w:rFonts w:ascii="仿宋_GB2312" w:eastAsia="仿宋_GB2312"/>
          <w:color w:val="000000" w:themeColor="text1"/>
          <w:sz w:val="32"/>
          <w:szCs w:val="32"/>
          <w14:textFill>
            <w14:solidFill>
              <w14:schemeClr w14:val="tx1"/>
            </w14:solidFill>
          </w14:textFill>
        </w:rPr>
      </w:pPr>
    </w:p>
    <w:p>
      <w:pPr>
        <w:pStyle w:val="8"/>
        <w:rPr>
          <w:rFonts w:ascii="仿宋_GB2312" w:eastAsia="仿宋_GB2312"/>
          <w:color w:val="000000" w:themeColor="text1"/>
          <w:sz w:val="32"/>
          <w:szCs w:val="32"/>
          <w14:textFill>
            <w14:solidFill>
              <w14:schemeClr w14:val="tx1"/>
            </w14:solidFill>
          </w14:textFill>
        </w:rPr>
      </w:pPr>
    </w:p>
    <w:p>
      <w:pPr>
        <w:pStyle w:val="8"/>
        <w:rPr>
          <w:rFonts w:ascii="仿宋_GB2312" w:eastAsia="仿宋_GB2312"/>
          <w:color w:val="000000" w:themeColor="text1"/>
          <w:sz w:val="32"/>
          <w:szCs w:val="32"/>
          <w14:textFill>
            <w14:solidFill>
              <w14:schemeClr w14:val="tx1"/>
            </w14:solidFill>
          </w14:textFill>
        </w:rPr>
      </w:pPr>
    </w:p>
    <w:p>
      <w:pPr>
        <w:ind w:right="-178" w:rightChars="-85"/>
        <w:jc w:val="center"/>
        <w:rPr>
          <w:rFonts w:ascii="仿宋_GB2312" w:hAnsi="宋体" w:eastAsia="仿宋_GB2312"/>
          <w:b/>
          <w:bCs/>
          <w:color w:val="000000" w:themeColor="text1"/>
          <w:sz w:val="44"/>
          <w:szCs w:val="44"/>
          <w14:textFill>
            <w14:solidFill>
              <w14:schemeClr w14:val="tx1"/>
            </w14:solidFill>
          </w14:textFill>
        </w:rPr>
      </w:pPr>
    </w:p>
    <w:p>
      <w:pPr>
        <w:jc w:val="center"/>
        <w:rPr>
          <w:rFonts w:ascii="宋体" w:cs="宋体"/>
          <w:b/>
          <w:bCs/>
          <w:color w:val="000000" w:themeColor="text1"/>
          <w:sz w:val="10"/>
          <w:szCs w:val="13"/>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北京市财政支出项目绩效评价报告</w:t>
      </w:r>
    </w:p>
    <w:p>
      <w:pPr>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2"/>
          <w:szCs w:val="28"/>
          <w14:textFill>
            <w14:solidFill>
              <w14:schemeClr w14:val="tx1"/>
            </w14:solidFill>
          </w14:textFill>
        </w:rPr>
        <w:t xml:space="preserve">                </w:t>
      </w:r>
      <w:r>
        <w:rPr>
          <w:rFonts w:ascii="宋体" w:hAnsi="宋体" w:cs="宋体"/>
          <w:color w:val="000000" w:themeColor="text1"/>
          <w:sz w:val="22"/>
          <w:szCs w:val="28"/>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w:t>
      </w:r>
    </w:p>
    <w:p>
      <w:pPr>
        <w:jc w:val="center"/>
        <w:rPr>
          <w:rFonts w:ascii="宋体" w:hAnsi="宋体" w:cs="宋体"/>
          <w:color w:val="000000" w:themeColor="text1"/>
          <w:sz w:val="28"/>
          <w:szCs w:val="28"/>
          <w14:textFill>
            <w14:solidFill>
              <w14:schemeClr w14:val="tx1"/>
            </w14:solidFill>
          </w14:textFill>
        </w:rPr>
      </w:pPr>
    </w:p>
    <w:p>
      <w:pPr>
        <w:jc w:val="center"/>
        <w:rPr>
          <w:rFonts w:eastAsia="黑体"/>
          <w:color w:val="000000" w:themeColor="text1"/>
          <w:sz w:val="30"/>
          <w:szCs w:val="30"/>
          <w14:textFill>
            <w14:solidFill>
              <w14:schemeClr w14:val="tx1"/>
            </w14:solidFill>
          </w14:textFill>
        </w:rPr>
      </w:pPr>
      <w:r>
        <w:rPr>
          <w:rFonts w:eastAsia="黑体"/>
          <w:color w:val="000000" w:themeColor="text1"/>
          <w:sz w:val="30"/>
          <w:szCs w:val="30"/>
          <w14:textFill>
            <w14:solidFill>
              <w14:schemeClr w14:val="tx1"/>
            </w14:solidFill>
          </w14:textFill>
        </w:rPr>
        <w:t xml:space="preserve"> </w:t>
      </w:r>
    </w:p>
    <w:p>
      <w:pPr>
        <w:jc w:val="center"/>
        <w:rPr>
          <w:rFonts w:eastAsia="黑体"/>
          <w:color w:val="000000" w:themeColor="text1"/>
          <w:sz w:val="30"/>
          <w:szCs w:val="30"/>
          <w14:textFill>
            <w14:solidFill>
              <w14:schemeClr w14:val="tx1"/>
            </w14:solidFill>
          </w14:textFill>
        </w:rPr>
      </w:pPr>
    </w:p>
    <w:p>
      <w:pPr>
        <w:jc w:val="center"/>
        <w:rPr>
          <w:rFonts w:eastAsia="黑体"/>
          <w:color w:val="000000" w:themeColor="text1"/>
          <w:sz w:val="30"/>
          <w:szCs w:val="30"/>
          <w14:textFill>
            <w14:solidFill>
              <w14:schemeClr w14:val="tx1"/>
            </w14:solidFill>
          </w14:textFill>
        </w:rPr>
      </w:pPr>
    </w:p>
    <w:p>
      <w:pPr>
        <w:jc w:val="center"/>
        <w:rPr>
          <w:rFonts w:ascii="宋体"/>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主管部门</w:t>
      </w:r>
      <w:r>
        <w:rPr>
          <w:rFonts w:ascii="仿宋" w:hAnsi="仿宋" w:eastAsia="仿宋"/>
          <w:color w:val="000000" w:themeColor="text1"/>
          <w:sz w:val="30"/>
          <w:szCs w:val="30"/>
          <w14:textFill>
            <w14:solidFill>
              <w14:schemeClr w14:val="tx1"/>
            </w14:solidFill>
          </w14:textFill>
        </w:rPr>
        <w:t xml:space="preserve"> </w:t>
      </w:r>
      <w:r>
        <w:rPr>
          <w:rFonts w:ascii="仿宋" w:hAnsi="仿宋" w:eastAsia="仿宋" w:cs="宋体"/>
          <w:color w:val="000000" w:themeColor="text1"/>
          <w:sz w:val="32"/>
          <w:szCs w:val="32"/>
          <w:u w:val="single"/>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中共北京市委统一战线工作部 </w:t>
      </w:r>
      <w:r>
        <w:rPr>
          <w:rFonts w:hint="eastAsia" w:ascii="宋体" w:hAnsi="宋体" w:cs="宋体"/>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宋体"/>
          <w:color w:val="000000" w:themeColor="text1"/>
          <w:sz w:val="32"/>
          <w:szCs w:val="32"/>
          <w:u w:val="single"/>
          <w:lang w:val="en-US" w:eastAsia="zh-CN"/>
          <w14:textFill>
            <w14:solidFill>
              <w14:schemeClr w14:val="tx1"/>
            </w14:solidFill>
          </w14:textFill>
        </w:rPr>
        <w:t xml:space="preserve">       </w:t>
      </w:r>
      <w:r>
        <w:rPr>
          <w:rFonts w:ascii="仿宋" w:hAnsi="仿宋" w:eastAsia="仿宋" w:cs="宋体"/>
          <w:color w:val="000000" w:themeColor="text1"/>
          <w:sz w:val="32"/>
          <w:szCs w:val="32"/>
          <w:u w:val="single"/>
          <w14:textFill>
            <w14:solidFill>
              <w14:schemeClr w14:val="tx1"/>
            </w14:solidFill>
          </w14:textFill>
        </w:rPr>
        <w:t xml:space="preserve">  </w:t>
      </w:r>
    </w:p>
    <w:p>
      <w:pPr>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项目单位</w:t>
      </w:r>
      <w:r>
        <w:rPr>
          <w:rFonts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32"/>
          <w:szCs w:val="32"/>
          <w:u w:val="single"/>
          <w:lang w:val="en-US" w:eastAsia="zh-CN"/>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中共北京市委统一战线工作部</w:t>
      </w:r>
      <w:r>
        <w:rPr>
          <w:rFonts w:hint="eastAsia" w:ascii="宋体" w:hAnsi="宋体" w:cs="宋体"/>
          <w:color w:val="000000" w:themeColor="text1"/>
          <w:sz w:val="32"/>
          <w:szCs w:val="32"/>
          <w:u w:val="single"/>
          <w:lang w:val="en-US" w:eastAsia="zh-CN"/>
          <w14:textFill>
            <w14:solidFill>
              <w14:schemeClr w14:val="tx1"/>
            </w14:solidFill>
          </w14:textFill>
        </w:rPr>
        <w:t xml:space="preserve">           </w:t>
      </w:r>
    </w:p>
    <w:p>
      <w:pPr>
        <w:tabs>
          <w:tab w:val="left" w:pos="2520"/>
          <w:tab w:val="left" w:pos="7920"/>
        </w:tabs>
        <w:ind w:firstLine="640" w:firstLineChars="200"/>
        <w:rPr>
          <w:rFonts w:hint="default" w:ascii="宋体" w:hAnsi="宋体" w:cs="宋体"/>
          <w:color w:val="000000" w:themeColor="text1"/>
          <w:sz w:val="32"/>
          <w:szCs w:val="32"/>
          <w:u w:val="single"/>
          <w:lang w:val="en-US"/>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项目名称</w:t>
      </w:r>
      <w:r>
        <w:rPr>
          <w:rFonts w:ascii="仿宋" w:hAnsi="仿宋" w:eastAsia="仿宋" w:cs="宋体"/>
          <w:color w:val="000000" w:themeColor="text1"/>
          <w:sz w:val="32"/>
          <w:szCs w:val="32"/>
          <w14:textFill>
            <w14:solidFill>
              <w14:schemeClr w14:val="tx1"/>
            </w14:solidFill>
          </w14:textFill>
        </w:rPr>
        <w:t xml:space="preserve"> </w:t>
      </w:r>
      <w:r>
        <w:rPr>
          <w:rFonts w:ascii="仿宋" w:hAnsi="仿宋" w:eastAsia="仿宋" w:cs="宋体"/>
          <w:color w:val="000000" w:themeColor="text1"/>
          <w:sz w:val="32"/>
          <w:szCs w:val="32"/>
          <w:u w:val="single"/>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新媒体建设项目</w:t>
      </w:r>
      <w:r>
        <w:rPr>
          <w:rFonts w:hint="eastAsia" w:ascii="宋体" w:hAnsi="宋体" w:cs="宋体"/>
          <w:color w:val="000000" w:themeColor="text1"/>
          <w:sz w:val="32"/>
          <w:szCs w:val="32"/>
          <w:u w:val="single"/>
          <w:lang w:val="en-US" w:eastAsia="zh-CN"/>
          <w14:textFill>
            <w14:solidFill>
              <w14:schemeClr w14:val="tx1"/>
            </w14:solidFill>
          </w14:textFill>
        </w:rPr>
        <w:t xml:space="preserve">                       </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评价机构</w:t>
      </w:r>
      <w:r>
        <w:rPr>
          <w:rFonts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32"/>
          <w:szCs w:val="32"/>
          <w:u w:val="single"/>
          <w:lang w:val="en-US" w:eastAsia="zh-CN"/>
          <w14:textFill>
            <w14:solidFill>
              <w14:schemeClr w14:val="tx1"/>
            </w14:solidFill>
          </w14:textFill>
        </w:rPr>
        <w:t xml:space="preserve"> </w:t>
      </w:r>
      <w:r>
        <w:rPr>
          <w:rFonts w:hint="eastAsia" w:ascii="宋体" w:hAnsi="宋体" w:cs="宋体"/>
          <w:color w:val="000000" w:themeColor="text1"/>
          <w:sz w:val="32"/>
          <w:szCs w:val="32"/>
          <w:u w:val="single"/>
          <w:lang w:val="en-US" w:eastAsia="zh-CN"/>
          <w14:textFill>
            <w14:solidFill>
              <w14:schemeClr w14:val="tx1"/>
            </w14:solidFill>
          </w14:textFill>
        </w:rPr>
        <w:t>北京中玉天晟会计师事务所有限责任公司</w:t>
      </w:r>
      <w:r>
        <w:rPr>
          <w:rFonts w:hint="eastAsia" w:ascii="宋体" w:hAnsi="宋体" w:cs="宋体"/>
          <w:color w:val="000000" w:themeColor="text1"/>
          <w:sz w:val="32"/>
          <w:szCs w:val="32"/>
          <w:u w:val="single"/>
          <w14:textFill>
            <w14:solidFill>
              <w14:schemeClr w14:val="tx1"/>
            </w14:solidFill>
          </w14:textFill>
        </w:rPr>
        <w:t xml:space="preserve"> </w:t>
      </w:r>
    </w:p>
    <w:p>
      <w:pPr>
        <w:rPr>
          <w:rFonts w:eastAsia="黑体"/>
          <w:color w:val="000000" w:themeColor="text1"/>
          <w:sz w:val="30"/>
          <w:szCs w:val="30"/>
          <w:u w:val="single"/>
          <w14:textFill>
            <w14:solidFill>
              <w14:schemeClr w14:val="tx1"/>
            </w14:solidFill>
          </w14:textFill>
        </w:rPr>
      </w:pPr>
    </w:p>
    <w:p>
      <w:pPr>
        <w:rPr>
          <w:rFonts w:eastAsia="黑体"/>
          <w:color w:val="000000" w:themeColor="text1"/>
          <w:sz w:val="30"/>
          <w:szCs w:val="30"/>
          <w:u w:val="single"/>
          <w14:textFill>
            <w14:solidFill>
              <w14:schemeClr w14:val="tx1"/>
            </w14:solidFill>
          </w14:textFill>
        </w:rPr>
      </w:pPr>
    </w:p>
    <w:p>
      <w:pPr>
        <w:rPr>
          <w:rFonts w:eastAsia="黑体"/>
          <w:color w:val="000000" w:themeColor="text1"/>
          <w:sz w:val="30"/>
          <w:szCs w:val="30"/>
          <w:u w:val="single"/>
          <w14:textFill>
            <w14:solidFill>
              <w14:schemeClr w14:val="tx1"/>
            </w14:solidFill>
          </w14:textFill>
        </w:rPr>
      </w:pPr>
    </w:p>
    <w:p>
      <w:pPr>
        <w:rPr>
          <w:rFonts w:eastAsia="黑体"/>
          <w:color w:val="000000" w:themeColor="text1"/>
          <w:sz w:val="30"/>
          <w:szCs w:val="30"/>
          <w:u w:val="single"/>
          <w14:textFill>
            <w14:solidFill>
              <w14:schemeClr w14:val="tx1"/>
            </w14:solidFill>
          </w14:textFill>
        </w:rPr>
      </w:pPr>
    </w:p>
    <w:p>
      <w:pPr>
        <w:jc w:val="center"/>
        <w:rPr>
          <w:rFonts w:eastAsia="黑体" w:cs="黑体"/>
          <w:b/>
          <w:bCs/>
          <w:color w:val="000000" w:themeColor="text1"/>
          <w:sz w:val="32"/>
          <w:szCs w:val="32"/>
          <w14:textFill>
            <w14:solidFill>
              <w14:schemeClr w14:val="tx1"/>
            </w14:solidFill>
          </w14:textFill>
        </w:rPr>
      </w:pPr>
    </w:p>
    <w:p>
      <w:pPr>
        <w:jc w:val="center"/>
        <w:rPr>
          <w:rFonts w:ascii="宋体"/>
          <w:b/>
          <w:bCs/>
          <w:color w:val="000000" w:themeColor="text1"/>
          <w:sz w:val="32"/>
          <w:szCs w:val="32"/>
          <w14:textFill>
            <w14:solidFill>
              <w14:schemeClr w14:val="tx1"/>
            </w14:solidFill>
          </w14:textFill>
        </w:rPr>
      </w:pPr>
      <w:r>
        <w:rPr>
          <w:rFonts w:hint="eastAsia" w:ascii="黑体" w:hAnsi="宋体" w:eastAsia="黑体" w:cs="黑体"/>
          <w:b/>
          <w:bCs/>
          <w:color w:val="000000" w:themeColor="text1"/>
          <w:sz w:val="32"/>
          <w:szCs w:val="32"/>
          <w14:textFill>
            <w14:solidFill>
              <w14:schemeClr w14:val="tx1"/>
            </w14:solidFill>
          </w14:textFill>
        </w:rPr>
        <w:t>二○二</w:t>
      </w:r>
      <w:r>
        <w:rPr>
          <w:rFonts w:hint="eastAsia" w:ascii="黑体" w:hAnsi="宋体" w:eastAsia="黑体" w:cs="黑体"/>
          <w:b/>
          <w:bCs/>
          <w:color w:val="000000" w:themeColor="text1"/>
          <w:sz w:val="32"/>
          <w:szCs w:val="32"/>
          <w:lang w:val="en-US" w:eastAsia="zh-CN"/>
          <w14:textFill>
            <w14:solidFill>
              <w14:schemeClr w14:val="tx1"/>
            </w14:solidFill>
          </w14:textFill>
        </w:rPr>
        <w:t>三</w:t>
      </w:r>
      <w:r>
        <w:rPr>
          <w:rFonts w:hint="eastAsia" w:ascii="黑体" w:hAnsi="宋体" w:eastAsia="黑体" w:cs="黑体"/>
          <w:b/>
          <w:bCs/>
          <w:color w:val="000000" w:themeColor="text1"/>
          <w:sz w:val="32"/>
          <w:szCs w:val="32"/>
          <w14:textFill>
            <w14:solidFill>
              <w14:schemeClr w14:val="tx1"/>
            </w14:solidFill>
          </w14:textFill>
        </w:rPr>
        <w:t>年</w:t>
      </w:r>
      <w:r>
        <w:rPr>
          <w:rFonts w:hint="eastAsia" w:ascii="黑体" w:hAnsi="宋体" w:eastAsia="黑体" w:cs="黑体"/>
          <w:b/>
          <w:bCs/>
          <w:color w:val="000000" w:themeColor="text1"/>
          <w:sz w:val="32"/>
          <w:szCs w:val="32"/>
          <w:lang w:val="en-US" w:eastAsia="zh-CN"/>
          <w14:textFill>
            <w14:solidFill>
              <w14:schemeClr w14:val="tx1"/>
            </w14:solidFill>
          </w14:textFill>
        </w:rPr>
        <w:t>五</w:t>
      </w:r>
      <w:r>
        <w:rPr>
          <w:rFonts w:hint="eastAsia" w:ascii="黑体" w:hAnsi="宋体" w:eastAsia="黑体" w:cs="黑体"/>
          <w:b/>
          <w:bCs/>
          <w:color w:val="000000" w:themeColor="text1"/>
          <w:sz w:val="32"/>
          <w:szCs w:val="32"/>
          <w14:textFill>
            <w14:solidFill>
              <w14:schemeClr w14:val="tx1"/>
            </w14:solidFill>
          </w14:textFill>
        </w:rPr>
        <w:t>月</w:t>
      </w:r>
    </w:p>
    <w:p>
      <w:pPr>
        <w:ind w:right="-178" w:rightChars="-85"/>
        <w:rPr>
          <w:rFonts w:ascii="仿宋_GB2312" w:hAnsi="华文仿宋" w:eastAsia="仿宋_GB2312"/>
          <w:color w:val="000000" w:themeColor="text1"/>
          <w:sz w:val="32"/>
          <w:szCs w:val="32"/>
          <w14:textFill>
            <w14:solidFill>
              <w14:schemeClr w14:val="tx1"/>
            </w14:solidFill>
          </w14:textFill>
        </w:rPr>
      </w:pPr>
    </w:p>
    <w:p>
      <w:pPr>
        <w:ind w:right="-178" w:rightChars="-85"/>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s="宋体"/>
          <w:b/>
          <w:bCs/>
          <w:color w:val="000000" w:themeColor="text1"/>
          <w:sz w:val="32"/>
          <w:szCs w:val="32"/>
          <w14:textFill>
            <w14:solidFill>
              <w14:schemeClr w14:val="tx1"/>
            </w14:solidFill>
          </w14:textFill>
        </w:rPr>
        <w:t>目</w:t>
      </w:r>
      <w:r>
        <w:rPr>
          <w:rFonts w:ascii="黑体" w:hAnsi="黑体" w:eastAsia="黑体" w:cs="宋体"/>
          <w:b/>
          <w:bCs/>
          <w:color w:val="000000" w:themeColor="text1"/>
          <w:sz w:val="32"/>
          <w:szCs w:val="32"/>
          <w14:textFill>
            <w14:solidFill>
              <w14:schemeClr w14:val="tx1"/>
            </w14:solidFill>
          </w14:textFill>
        </w:rPr>
        <w:t xml:space="preserve">  </w:t>
      </w:r>
      <w:r>
        <w:rPr>
          <w:rFonts w:hint="eastAsia" w:ascii="黑体" w:hAnsi="黑体" w:eastAsia="黑体" w:cs="宋体"/>
          <w:b/>
          <w:bCs/>
          <w:color w:val="000000" w:themeColor="text1"/>
          <w:sz w:val="32"/>
          <w:szCs w:val="32"/>
          <w14:textFill>
            <w14:solidFill>
              <w14:schemeClr w14:val="tx1"/>
            </w14:solidFill>
          </w14:textFill>
        </w:rPr>
        <w:t>录</w:t>
      </w:r>
    </w:p>
    <w:p>
      <w:pPr>
        <w:jc w:val="center"/>
        <w:rPr>
          <w:rFonts w:eastAsia="黑体"/>
          <w:color w:val="000000" w:themeColor="text1"/>
          <w:sz w:val="36"/>
          <w:szCs w:val="36"/>
          <w14:textFill>
            <w14:solidFill>
              <w14:schemeClr w14:val="tx1"/>
            </w14:solidFill>
          </w14:textFill>
        </w:rPr>
      </w:pPr>
    </w:p>
    <w:p>
      <w:pPr>
        <w:pStyle w:val="18"/>
        <w:tabs>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Style w:val="32"/>
          <w:rFonts w:ascii="宋体" w:hAnsi="宋体" w:cs="宋体"/>
          <w:color w:val="000000" w:themeColor="text1"/>
          <w:sz w:val="28"/>
          <w:szCs w:val="28"/>
          <w14:textFill>
            <w14:solidFill>
              <w14:schemeClr w14:val="tx1"/>
            </w14:solidFill>
          </w14:textFill>
        </w:rPr>
        <w:instrText xml:space="preserve"> TOC \o "1-3" \h \z \u </w:instrText>
      </w:r>
      <w:r>
        <w:rPr>
          <w:rFonts w:ascii="宋体" w:hAnsi="宋体" w:cs="宋体"/>
          <w:color w:val="000000" w:themeColor="text1"/>
          <w:sz w:val="28"/>
          <w:szCs w:val="28"/>
          <w14:textFill>
            <w14:solidFill>
              <w14:schemeClr w14:val="tx1"/>
            </w14:solidFill>
          </w14:textFill>
        </w:rPr>
        <w:fldChar w:fldCharType="separate"/>
      </w:r>
      <w:r>
        <w:fldChar w:fldCharType="begin"/>
      </w:r>
      <w:r>
        <w:instrText xml:space="preserve"> HYPERLINK \l "_Toc103954918" </w:instrText>
      </w:r>
      <w:r>
        <w:fldChar w:fldCharType="separate"/>
      </w:r>
      <w:r>
        <w:rPr>
          <w:rStyle w:val="32"/>
          <w:rFonts w:ascii="宋体" w:hAnsi="宋体"/>
          <w:color w:val="000000" w:themeColor="text1"/>
          <w:sz w:val="28"/>
          <w:szCs w:val="28"/>
          <w14:textFill>
            <w14:solidFill>
              <w14:schemeClr w14:val="tx1"/>
            </w14:solidFill>
          </w14:textFill>
        </w:rPr>
        <w:t>一、基本情况</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fldChar w:fldCharType="begin"/>
      </w:r>
      <w:r>
        <w:rPr>
          <w:rFonts w:ascii="宋体" w:hAnsi="宋体"/>
          <w:color w:val="000000" w:themeColor="text1"/>
          <w:sz w:val="28"/>
          <w:szCs w:val="28"/>
          <w14:textFill>
            <w14:solidFill>
              <w14:schemeClr w14:val="tx1"/>
            </w14:solidFill>
          </w14:textFill>
        </w:rPr>
        <w:instrText xml:space="preserve"> PAGEREF _Toc103954918 \h </w:instrText>
      </w:r>
      <w:r>
        <w:rPr>
          <w:rFonts w:ascii="宋体" w:hAnsi="宋体"/>
          <w:color w:val="000000" w:themeColor="text1"/>
          <w:sz w:val="28"/>
          <w:szCs w:val="28"/>
          <w14:textFill>
            <w14:solidFill>
              <w14:schemeClr w14:val="tx1"/>
            </w14:solidFill>
          </w14:textFill>
        </w:rPr>
        <w:fldChar w:fldCharType="separate"/>
      </w:r>
      <w:r>
        <w:rPr>
          <w:rFonts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fldChar w:fldCharType="end"/>
      </w:r>
      <w:r>
        <w:rPr>
          <w:rFonts w:ascii="宋体" w:hAnsi="宋体"/>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"_Toc103954919" </w:instrText>
      </w:r>
      <w:r>
        <w:fldChar w:fldCharType="separate"/>
      </w:r>
      <w:r>
        <w:rPr>
          <w:rStyle w:val="32"/>
          <w:color w:val="000000" w:themeColor="text1"/>
          <w:sz w:val="28"/>
          <w:szCs w:val="28"/>
          <w14:textFill>
            <w14:solidFill>
              <w14:schemeClr w14:val="tx1"/>
            </w14:solidFill>
          </w14:textFill>
        </w:rPr>
        <w:t>（一）项目概况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_Toc103954919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"_Toc103954920" </w:instrText>
      </w:r>
      <w:r>
        <w:fldChar w:fldCharType="separate"/>
      </w:r>
      <w:r>
        <w:rPr>
          <w:rStyle w:val="32"/>
          <w:color w:val="000000" w:themeColor="text1"/>
          <w:sz w:val="28"/>
          <w:szCs w:val="28"/>
          <w14:textFill>
            <w14:solidFill>
              <w14:schemeClr w14:val="tx1"/>
            </w14:solidFill>
          </w14:textFill>
        </w:rPr>
        <w:t>（二）项目绩效目标</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2</w:t>
      </w:r>
      <w:r>
        <w:rPr>
          <w:rFonts w:hint="eastAsia"/>
          <w:color w:val="000000" w:themeColor="text1"/>
          <w:sz w:val="28"/>
          <w:szCs w:val="28"/>
          <w14:textFill>
            <w14:solidFill>
              <w14:schemeClr w14:val="tx1"/>
            </w14:solidFill>
          </w14:textFill>
        </w:rPr>
        <w:fldChar w:fldCharType="end"/>
      </w:r>
    </w:p>
    <w:p>
      <w:pPr>
        <w:pStyle w:val="18"/>
        <w:tabs>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fldChar w:fldCharType="begin"/>
      </w:r>
      <w:r>
        <w:instrText xml:space="preserve"> HYPERLINK \l "_Toc103954921" </w:instrText>
      </w:r>
      <w:r>
        <w:fldChar w:fldCharType="separate"/>
      </w:r>
      <w:r>
        <w:rPr>
          <w:rStyle w:val="32"/>
          <w:rFonts w:ascii="宋体" w:hAnsi="宋体"/>
          <w:color w:val="000000" w:themeColor="text1"/>
          <w:sz w:val="28"/>
          <w:szCs w:val="28"/>
          <w14:textFill>
            <w14:solidFill>
              <w14:schemeClr w14:val="tx1"/>
            </w14:solidFill>
          </w14:textFill>
        </w:rPr>
        <w:t>二、</w:t>
      </w:r>
      <w:r>
        <w:rPr>
          <w:rStyle w:val="32"/>
          <w:rFonts w:ascii="宋体" w:hAnsi="宋体" w:cs="黑体"/>
          <w:color w:val="000000" w:themeColor="text1"/>
          <w:sz w:val="28"/>
          <w:szCs w:val="28"/>
          <w14:textFill>
            <w14:solidFill>
              <w14:schemeClr w14:val="tx1"/>
            </w14:solidFill>
          </w14:textFill>
        </w:rPr>
        <w:t>绩效评价工作开展情况</w:t>
      </w:r>
      <w:r>
        <w:rPr>
          <w:rFonts w:ascii="宋体" w:hAnsi="宋体"/>
          <w:color w:val="000000" w:themeColor="text1"/>
          <w:sz w:val="28"/>
          <w:szCs w:val="28"/>
          <w14:textFill>
            <w14:solidFill>
              <w14:schemeClr w14:val="tx1"/>
            </w14:solidFill>
          </w14:textFill>
        </w:rPr>
        <w:tab/>
      </w:r>
      <w:r>
        <w:rPr>
          <w:rFonts w:hint="eastAsia" w:ascii="宋体" w:hAnsi="宋体"/>
          <w:color w:val="000000" w:themeColor="text1"/>
          <w:sz w:val="28"/>
          <w:szCs w:val="28"/>
          <w:lang w:val="en-US" w:eastAsia="zh-CN"/>
          <w14:textFill>
            <w14:solidFill>
              <w14:schemeClr w14:val="tx1"/>
            </w14:solidFill>
          </w14:textFill>
        </w:rPr>
        <w:t>4</w:t>
      </w:r>
      <w:r>
        <w:rPr>
          <w:rFonts w:ascii="宋体" w:hAnsi="宋体"/>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"_Toc103954922" </w:instrText>
      </w:r>
      <w:r>
        <w:fldChar w:fldCharType="separate"/>
      </w:r>
      <w:r>
        <w:rPr>
          <w:rStyle w:val="32"/>
          <w:color w:val="000000" w:themeColor="text1"/>
          <w:kern w:val="44"/>
          <w:sz w:val="28"/>
          <w:szCs w:val="28"/>
          <w14:textFill>
            <w14:solidFill>
              <w14:schemeClr w14:val="tx1"/>
            </w14:solidFill>
          </w14:textFill>
        </w:rPr>
        <w:t>（一）</w:t>
      </w:r>
      <w:r>
        <w:rPr>
          <w:rStyle w:val="32"/>
          <w:color w:val="000000" w:themeColor="text1"/>
          <w:sz w:val="28"/>
          <w:szCs w:val="28"/>
          <w14:textFill>
            <w14:solidFill>
              <w14:schemeClr w14:val="tx1"/>
            </w14:solidFill>
          </w14:textFill>
        </w:rPr>
        <w:t>绩效评价目的</w:t>
      </w:r>
      <w:r>
        <w:rPr>
          <w:rStyle w:val="32"/>
          <w:color w:val="000000" w:themeColor="text1"/>
          <w:kern w:val="44"/>
          <w:sz w:val="28"/>
          <w:szCs w:val="28"/>
          <w14:textFill>
            <w14:solidFill>
              <w14:schemeClr w14:val="tx1"/>
            </w14:solidFill>
          </w14:textFill>
        </w:rPr>
        <w:t>、对象和范围</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_Toc103954922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"_Toc103954923" </w:instrText>
      </w:r>
      <w:r>
        <w:fldChar w:fldCharType="separate"/>
      </w:r>
      <w:r>
        <w:rPr>
          <w:rStyle w:val="32"/>
          <w:rFonts w:cs="仿宋"/>
          <w:color w:val="000000" w:themeColor="text1"/>
          <w:sz w:val="28"/>
          <w:szCs w:val="28"/>
          <w14:textFill>
            <w14:solidFill>
              <w14:schemeClr w14:val="tx1"/>
            </w14:solidFill>
          </w14:textFill>
        </w:rPr>
        <w:t>（二）</w:t>
      </w:r>
      <w:r>
        <w:rPr>
          <w:rStyle w:val="32"/>
          <w:color w:val="000000" w:themeColor="text1"/>
          <w:sz w:val="28"/>
          <w:szCs w:val="28"/>
          <w14:textFill>
            <w14:solidFill>
              <w14:schemeClr w14:val="tx1"/>
            </w14:solidFill>
          </w14:textFill>
        </w:rPr>
        <w:t>绩效评价原则</w:t>
      </w:r>
      <w:r>
        <w:rPr>
          <w:rStyle w:val="32"/>
          <w:rFonts w:cs="仿宋"/>
          <w:color w:val="000000" w:themeColor="text1"/>
          <w:sz w:val="28"/>
          <w:szCs w:val="28"/>
          <w14:textFill>
            <w14:solidFill>
              <w14:schemeClr w14:val="tx1"/>
            </w14:solidFill>
          </w14:textFill>
        </w:rPr>
        <w:t>、评价指标体系、评价方法、评价标准</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5</w:t>
      </w:r>
      <w:r>
        <w:rPr>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"_Toc103954924" </w:instrText>
      </w:r>
      <w:r>
        <w:fldChar w:fldCharType="separate"/>
      </w:r>
      <w:r>
        <w:rPr>
          <w:rStyle w:val="32"/>
          <w:color w:val="000000" w:themeColor="text1"/>
          <w:sz w:val="28"/>
          <w:szCs w:val="28"/>
          <w14:textFill>
            <w14:solidFill>
              <w14:schemeClr w14:val="tx1"/>
            </w14:solidFill>
          </w14:textFill>
        </w:rPr>
        <w:t>（三）绩效评价工作过程</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7</w:t>
      </w:r>
      <w:r>
        <w:rPr>
          <w:color w:val="000000" w:themeColor="text1"/>
          <w:sz w:val="28"/>
          <w:szCs w:val="28"/>
          <w14:textFill>
            <w14:solidFill>
              <w14:schemeClr w14:val="tx1"/>
            </w14:solidFill>
          </w14:textFill>
        </w:rPr>
        <w:fldChar w:fldCharType="end"/>
      </w:r>
    </w:p>
    <w:p>
      <w:pPr>
        <w:pStyle w:val="18"/>
        <w:tabs>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fldChar w:fldCharType="begin"/>
      </w:r>
      <w:r>
        <w:instrText xml:space="preserve"> HYPERLINK \l "_Toc103954925" </w:instrText>
      </w:r>
      <w:r>
        <w:fldChar w:fldCharType="separate"/>
      </w:r>
      <w:r>
        <w:rPr>
          <w:rStyle w:val="32"/>
          <w:rFonts w:ascii="宋体" w:hAnsi="宋体"/>
          <w:color w:val="000000" w:themeColor="text1"/>
          <w:sz w:val="28"/>
          <w:szCs w:val="28"/>
          <w14:textFill>
            <w14:solidFill>
              <w14:schemeClr w14:val="tx1"/>
            </w14:solidFill>
          </w14:textFill>
        </w:rPr>
        <w:t>三、</w:t>
      </w:r>
      <w:r>
        <w:rPr>
          <w:rStyle w:val="32"/>
          <w:rFonts w:ascii="宋体" w:hAnsi="宋体" w:cs="黑体"/>
          <w:color w:val="000000" w:themeColor="text1"/>
          <w:sz w:val="28"/>
          <w:szCs w:val="28"/>
          <w14:textFill>
            <w14:solidFill>
              <w14:schemeClr w14:val="tx1"/>
            </w14:solidFill>
          </w14:textFill>
        </w:rPr>
        <w:t>综合评价情况及评价结论</w:t>
      </w:r>
      <w:r>
        <w:rPr>
          <w:rFonts w:ascii="宋体" w:hAnsi="宋体"/>
          <w:color w:val="000000" w:themeColor="text1"/>
          <w:sz w:val="28"/>
          <w:szCs w:val="28"/>
          <w14:textFill>
            <w14:solidFill>
              <w14:schemeClr w14:val="tx1"/>
            </w14:solidFill>
          </w14:textFill>
        </w:rPr>
        <w:tab/>
      </w:r>
      <w:r>
        <w:rPr>
          <w:rFonts w:hint="eastAsia" w:ascii="宋体" w:hAnsi="宋体"/>
          <w:color w:val="000000" w:themeColor="text1"/>
          <w:sz w:val="28"/>
          <w:szCs w:val="28"/>
          <w:lang w:val="en-US" w:eastAsia="zh-CN"/>
          <w14:textFill>
            <w14:solidFill>
              <w14:schemeClr w14:val="tx1"/>
            </w14:solidFill>
          </w14:textFill>
        </w:rPr>
        <w:t>9</w:t>
      </w:r>
      <w:r>
        <w:rPr>
          <w:rFonts w:ascii="宋体" w:hAnsi="宋体"/>
          <w:color w:val="000000" w:themeColor="text1"/>
          <w:sz w:val="28"/>
          <w:szCs w:val="28"/>
          <w14:textFill>
            <w14:solidFill>
              <w14:schemeClr w14:val="tx1"/>
            </w14:solidFill>
          </w14:textFill>
        </w:rPr>
        <w:fldChar w:fldCharType="end"/>
      </w:r>
    </w:p>
    <w:p>
      <w:pPr>
        <w:pStyle w:val="18"/>
        <w:tabs>
          <w:tab w:val="right" w:leader="dot" w:pos="8776"/>
        </w:tabs>
        <w:adjustRightInd w:val="0"/>
        <w:snapToGrid w:val="0"/>
        <w:spacing w:before="93" w:beforeLines="30" w:after="62" w:afterLines="20" w:line="360" w:lineRule="auto"/>
        <w:rPr>
          <w:rFonts w:hint="eastAsia" w:ascii="宋体" w:hAnsi="宋体" w:eastAsia="宋体"/>
          <w:b w:val="0"/>
          <w:bCs w:val="0"/>
          <w:color w:val="000000" w:themeColor="text1"/>
          <w:sz w:val="28"/>
          <w:szCs w:val="28"/>
          <w:lang w:val="en-US" w:eastAsia="zh-CN"/>
          <w14:textFill>
            <w14:solidFill>
              <w14:schemeClr w14:val="tx1"/>
            </w14:solidFill>
          </w14:textFill>
        </w:rPr>
      </w:pPr>
      <w:r>
        <w:fldChar w:fldCharType="begin"/>
      </w:r>
      <w:r>
        <w:instrText xml:space="preserve"> HYPERLINK \l "_Toc103954926" </w:instrText>
      </w:r>
      <w:r>
        <w:fldChar w:fldCharType="separate"/>
      </w:r>
      <w:r>
        <w:rPr>
          <w:rStyle w:val="32"/>
          <w:rFonts w:ascii="宋体" w:hAnsi="宋体" w:cs="黑体"/>
          <w:snapToGrid w:val="0"/>
          <w:color w:val="000000" w:themeColor="text1"/>
          <w:kern w:val="0"/>
          <w:sz w:val="28"/>
          <w:szCs w:val="28"/>
          <w14:textFill>
            <w14:solidFill>
              <w14:schemeClr w14:val="tx1"/>
            </w14:solidFill>
          </w14:textFill>
        </w:rPr>
        <w:t>四、绩效评价指标分析</w:t>
      </w:r>
      <w:r>
        <w:rPr>
          <w:rFonts w:ascii="宋体" w:hAnsi="宋体"/>
          <w:color w:val="000000" w:themeColor="text1"/>
          <w:sz w:val="28"/>
          <w:szCs w:val="28"/>
          <w14:textFill>
            <w14:solidFill>
              <w14:schemeClr w14:val="tx1"/>
            </w14:solidFill>
          </w14:textFill>
        </w:rPr>
        <w:tab/>
      </w:r>
      <w:r>
        <w:rPr>
          <w:rFonts w:hint="eastAsia" w:ascii="宋体" w:hAnsi="宋体"/>
          <w:color w:val="000000" w:themeColor="text1"/>
          <w:sz w:val="28"/>
          <w:szCs w:val="28"/>
          <w:lang w:val="en-US" w:eastAsia="zh-CN"/>
          <w14:textFill>
            <w14:solidFill>
              <w14:schemeClr w14:val="tx1"/>
            </w14:solidFill>
          </w14:textFill>
        </w:rPr>
        <w:t>1</w:t>
      </w:r>
      <w:r>
        <w:rPr>
          <w:rFonts w:ascii="宋体" w:hAnsi="宋体"/>
          <w:color w:val="000000" w:themeColor="text1"/>
          <w:sz w:val="28"/>
          <w:szCs w:val="28"/>
          <w14:textFill>
            <w14:solidFill>
              <w14:schemeClr w14:val="tx1"/>
            </w14:solidFill>
          </w14:textFill>
        </w:rPr>
        <w:fldChar w:fldCharType="end"/>
      </w:r>
      <w:r>
        <w:rPr>
          <w:rFonts w:hint="eastAsia" w:ascii="宋体" w:hAnsi="宋体"/>
          <w:color w:val="000000" w:themeColor="text1"/>
          <w:sz w:val="28"/>
          <w:szCs w:val="28"/>
          <w:lang w:val="en-US" w:eastAsia="zh-CN"/>
          <w14:textFill>
            <w14:solidFill>
              <w14:schemeClr w14:val="tx1"/>
            </w14:solidFill>
          </w14:textFill>
        </w:rPr>
        <w:t>0</w:t>
      </w:r>
    </w:p>
    <w:p>
      <w:pPr>
        <w:pStyle w:val="22"/>
        <w:adjustRightInd w:val="0"/>
        <w:snapToGrid w:val="0"/>
        <w:spacing w:before="93" w:beforeLines="30" w:after="62" w:afterLines="20" w:line="360" w:lineRule="auto"/>
        <w:ind w:left="0" w:firstLine="480" w:firstLineChars="200"/>
        <w:rPr>
          <w:rFonts w:hint="eastAsia" w:eastAsia="宋体" w:cs="Times New Roman"/>
          <w:color w:val="000000" w:themeColor="text1"/>
          <w:sz w:val="28"/>
          <w:szCs w:val="28"/>
          <w:lang w:val="en-US" w:eastAsia="zh-CN"/>
          <w14:textFill>
            <w14:solidFill>
              <w14:schemeClr w14:val="tx1"/>
            </w14:solidFill>
          </w14:textFill>
        </w:rPr>
      </w:pPr>
      <w:r>
        <w:fldChar w:fldCharType="begin"/>
      </w:r>
      <w:r>
        <w:instrText xml:space="preserve"> HYPERLINK \l "_Toc103954927" </w:instrText>
      </w:r>
      <w:r>
        <w:fldChar w:fldCharType="separate"/>
      </w:r>
      <w:r>
        <w:rPr>
          <w:rStyle w:val="32"/>
          <w:color w:val="000000" w:themeColor="text1"/>
          <w:sz w:val="28"/>
          <w:szCs w:val="28"/>
          <w14:textFill>
            <w14:solidFill>
              <w14:schemeClr w14:val="tx1"/>
            </w14:solidFill>
          </w14:textFill>
        </w:rPr>
        <w:t>（一）项目决策情况</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0</w:t>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"_Toc103954928" </w:instrText>
      </w:r>
      <w:r>
        <w:fldChar w:fldCharType="separate"/>
      </w:r>
      <w:r>
        <w:rPr>
          <w:rStyle w:val="32"/>
          <w:color w:val="000000" w:themeColor="text1"/>
          <w:sz w:val="28"/>
          <w:szCs w:val="28"/>
          <w14:textFill>
            <w14:solidFill>
              <w14:schemeClr w14:val="tx1"/>
            </w14:solidFill>
          </w14:textFill>
        </w:rPr>
        <w:t>（二）项目</w:t>
      </w:r>
      <w:r>
        <w:rPr>
          <w:rStyle w:val="32"/>
          <w:rFonts w:hint="eastAsia"/>
          <w:color w:val="000000" w:themeColor="text1"/>
          <w:sz w:val="28"/>
          <w:szCs w:val="28"/>
          <w14:textFill>
            <w14:solidFill>
              <w14:schemeClr w14:val="tx1"/>
            </w14:solidFill>
          </w14:textFill>
        </w:rPr>
        <w:t>过程</w:t>
      </w:r>
      <w:r>
        <w:rPr>
          <w:rStyle w:val="32"/>
          <w:color w:val="000000" w:themeColor="text1"/>
          <w:sz w:val="28"/>
          <w:szCs w:val="28"/>
          <w14:textFill>
            <w14:solidFill>
              <w14:schemeClr w14:val="tx1"/>
            </w14:solidFill>
          </w14:textFill>
        </w:rPr>
        <w:t>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"_Toc103954929" </w:instrText>
      </w:r>
      <w:r>
        <w:fldChar w:fldCharType="separate"/>
      </w:r>
      <w:r>
        <w:rPr>
          <w:rStyle w:val="32"/>
          <w:color w:val="000000" w:themeColor="text1"/>
          <w:sz w:val="28"/>
          <w:szCs w:val="28"/>
          <w14:textFill>
            <w14:solidFill>
              <w14:schemeClr w14:val="tx1"/>
            </w14:solidFill>
          </w14:textFill>
        </w:rPr>
        <w:t>（三）项目产出情况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4</w:t>
      </w:r>
      <w:r>
        <w:rPr>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"_Toc103954930" </w:instrText>
      </w:r>
      <w:r>
        <w:fldChar w:fldCharType="separate"/>
      </w:r>
      <w:r>
        <w:rPr>
          <w:rStyle w:val="32"/>
          <w:color w:val="000000" w:themeColor="text1"/>
          <w:sz w:val="28"/>
          <w:szCs w:val="28"/>
          <w14:textFill>
            <w14:solidFill>
              <w14:schemeClr w14:val="tx1"/>
            </w14:solidFill>
          </w14:textFill>
        </w:rPr>
        <w:t>（四）项目效益情况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6</w:t>
      </w:r>
      <w:r>
        <w:rPr>
          <w:color w:val="000000" w:themeColor="text1"/>
          <w:sz w:val="28"/>
          <w:szCs w:val="28"/>
          <w14:textFill>
            <w14:solidFill>
              <w14:schemeClr w14:val="tx1"/>
            </w14:solidFill>
          </w14:textFill>
        </w:rPr>
        <w:fldChar w:fldCharType="end"/>
      </w:r>
    </w:p>
    <w:p>
      <w:pPr>
        <w:pStyle w:val="18"/>
        <w:tabs>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fldChar w:fldCharType="begin"/>
      </w:r>
      <w:r>
        <w:instrText xml:space="preserve"> HYPERLINK \l "_Toc103954931" </w:instrText>
      </w:r>
      <w:r>
        <w:fldChar w:fldCharType="separate"/>
      </w:r>
      <w:r>
        <w:rPr>
          <w:rStyle w:val="32"/>
          <w:rFonts w:ascii="宋体" w:hAnsi="宋体" w:cs="黑体"/>
          <w:color w:val="000000" w:themeColor="text1"/>
          <w:sz w:val="28"/>
          <w:szCs w:val="28"/>
          <w14:textFill>
            <w14:solidFill>
              <w14:schemeClr w14:val="tx1"/>
            </w14:solidFill>
          </w14:textFill>
        </w:rPr>
        <w:t>五、</w:t>
      </w:r>
      <w:r>
        <w:rPr>
          <w:rStyle w:val="32"/>
          <w:rFonts w:ascii="宋体" w:hAnsi="宋体"/>
          <w:color w:val="000000" w:themeColor="text1"/>
          <w:sz w:val="28"/>
          <w:szCs w:val="28"/>
          <w14:textFill>
            <w14:solidFill>
              <w14:schemeClr w14:val="tx1"/>
            </w14:solidFill>
          </w14:textFill>
        </w:rPr>
        <w:t>主要经验及做法、存在的问题分析</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lang w:val="en-US" w:eastAsia="zh-CN"/>
          <w14:textFill>
            <w14:solidFill>
              <w14:schemeClr w14:val="tx1"/>
            </w14:solidFill>
          </w14:textFill>
        </w:rPr>
        <w:t>7</w:t>
      </w:r>
      <w:r>
        <w:rPr>
          <w:rFonts w:ascii="宋体" w:hAnsi="宋体"/>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"_Toc103954932" </w:instrText>
      </w:r>
      <w:r>
        <w:fldChar w:fldCharType="separate"/>
      </w:r>
      <w:r>
        <w:rPr>
          <w:rStyle w:val="32"/>
          <w:color w:val="000000" w:themeColor="text1"/>
          <w:sz w:val="28"/>
          <w:szCs w:val="28"/>
          <w14:textFill>
            <w14:solidFill>
              <w14:schemeClr w14:val="tx1"/>
            </w14:solidFill>
          </w14:textFill>
        </w:rPr>
        <w:t>（一）主要经验及做法</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7</w:t>
      </w:r>
      <w:r>
        <w:rPr>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hint="eastAsia" w:eastAsia="宋体" w:cs="Times New Roman"/>
          <w:color w:val="000000" w:themeColor="text1"/>
          <w:sz w:val="28"/>
          <w:szCs w:val="28"/>
          <w:lang w:val="en-US" w:eastAsia="zh-CN"/>
          <w14:textFill>
            <w14:solidFill>
              <w14:schemeClr w14:val="tx1"/>
            </w14:solidFill>
          </w14:textFill>
        </w:rPr>
      </w:pPr>
      <w:r>
        <w:fldChar w:fldCharType="begin"/>
      </w:r>
      <w:r>
        <w:instrText xml:space="preserve"> HYPERLINK \l "_Toc103954933" </w:instrText>
      </w:r>
      <w:r>
        <w:fldChar w:fldCharType="separate"/>
      </w:r>
      <w:r>
        <w:rPr>
          <w:rStyle w:val="32"/>
          <w:color w:val="000000" w:themeColor="text1"/>
          <w:sz w:val="28"/>
          <w:szCs w:val="28"/>
          <w14:textFill>
            <w14:solidFill>
              <w14:schemeClr w14:val="tx1"/>
            </w14:solidFill>
          </w14:textFill>
        </w:rPr>
        <w:t>（二）存在的问题分析</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8</w:t>
      </w:r>
    </w:p>
    <w:p>
      <w:pPr>
        <w:pStyle w:val="18"/>
        <w:tabs>
          <w:tab w:val="left" w:pos="630"/>
          <w:tab w:val="right" w:leader="dot" w:pos="8776"/>
        </w:tabs>
        <w:adjustRightInd w:val="0"/>
        <w:snapToGrid w:val="0"/>
        <w:spacing w:before="93" w:beforeLines="30" w:after="62" w:afterLines="20" w:line="360" w:lineRule="auto"/>
        <w:rPr>
          <w:rFonts w:hint="eastAsia" w:ascii="宋体" w:hAnsi="宋体" w:eastAsia="宋体"/>
          <w:b w:val="0"/>
          <w:bCs w:val="0"/>
          <w:color w:val="000000" w:themeColor="text1"/>
          <w:sz w:val="28"/>
          <w:szCs w:val="28"/>
          <w:lang w:val="en-US" w:eastAsia="zh-CN"/>
          <w14:textFill>
            <w14:solidFill>
              <w14:schemeClr w14:val="tx1"/>
            </w14:solidFill>
          </w14:textFill>
        </w:rPr>
      </w:pPr>
      <w:r>
        <w:fldChar w:fldCharType="begin"/>
      </w:r>
      <w:r>
        <w:instrText xml:space="preserve"> HYPERLINK \l "_Toc103954934" </w:instrText>
      </w:r>
      <w:r>
        <w:fldChar w:fldCharType="separate"/>
      </w:r>
      <w:r>
        <w:rPr>
          <w:rStyle w:val="32"/>
          <w:rFonts w:ascii="宋体" w:hAnsi="宋体" w:cs="黑体"/>
          <w:color w:val="000000" w:themeColor="text1"/>
          <w:sz w:val="28"/>
          <w:szCs w:val="28"/>
          <w14:textFill>
            <w14:solidFill>
              <w14:schemeClr w14:val="tx1"/>
            </w14:solidFill>
          </w14:textFill>
        </w:rPr>
        <w:t>六、</w:t>
      </w:r>
      <w:r>
        <w:rPr>
          <w:rFonts w:ascii="宋体" w:hAnsi="宋体"/>
          <w:b w:val="0"/>
          <w:bCs w:val="0"/>
          <w:color w:val="000000" w:themeColor="text1"/>
          <w:sz w:val="28"/>
          <w:szCs w:val="28"/>
          <w14:textFill>
            <w14:solidFill>
              <w14:schemeClr w14:val="tx1"/>
            </w14:solidFill>
          </w14:textFill>
        </w:rPr>
        <w:tab/>
      </w:r>
      <w:r>
        <w:rPr>
          <w:rStyle w:val="32"/>
          <w:rFonts w:ascii="宋体" w:hAnsi="宋体" w:cs="黑体"/>
          <w:color w:val="000000" w:themeColor="text1"/>
          <w:sz w:val="28"/>
          <w:szCs w:val="28"/>
          <w14:textFill>
            <w14:solidFill>
              <w14:schemeClr w14:val="tx1"/>
            </w14:solidFill>
          </w14:textFill>
        </w:rPr>
        <w:t>有关建议</w:t>
      </w:r>
      <w:r>
        <w:rPr>
          <w:rFonts w:ascii="宋体" w:hAnsi="宋体"/>
          <w:color w:val="000000" w:themeColor="text1"/>
          <w:sz w:val="28"/>
          <w:szCs w:val="28"/>
          <w14:textFill>
            <w14:solidFill>
              <w14:schemeClr w14:val="tx1"/>
            </w14:solidFill>
          </w14:textFill>
        </w:rPr>
        <w:tab/>
      </w:r>
      <w:r>
        <w:rPr>
          <w:rFonts w:hint="eastAsia" w:ascii="宋体" w:hAnsi="宋体"/>
          <w:color w:val="000000" w:themeColor="text1"/>
          <w:sz w:val="28"/>
          <w:szCs w:val="28"/>
          <w:lang w:val="en-US" w:eastAsia="zh-CN"/>
          <w14:textFill>
            <w14:solidFill>
              <w14:schemeClr w14:val="tx1"/>
            </w14:solidFill>
          </w14:textFill>
        </w:rPr>
        <w:t>1</w:t>
      </w:r>
      <w:r>
        <w:rPr>
          <w:rFonts w:ascii="宋体" w:hAnsi="宋体"/>
          <w:color w:val="000000" w:themeColor="text1"/>
          <w:sz w:val="28"/>
          <w:szCs w:val="28"/>
          <w14:textFill>
            <w14:solidFill>
              <w14:schemeClr w14:val="tx1"/>
            </w14:solidFill>
          </w14:textFill>
        </w:rPr>
        <w:fldChar w:fldCharType="end"/>
      </w:r>
      <w:r>
        <w:rPr>
          <w:rFonts w:hint="eastAsia" w:ascii="宋体" w:hAnsi="宋体"/>
          <w:color w:val="000000" w:themeColor="text1"/>
          <w:sz w:val="28"/>
          <w:szCs w:val="28"/>
          <w:lang w:val="en-US" w:eastAsia="zh-CN"/>
          <w14:textFill>
            <w14:solidFill>
              <w14:schemeClr w14:val="tx1"/>
            </w14:solidFill>
          </w14:textFill>
        </w:rPr>
        <w:t>9</w:t>
      </w:r>
    </w:p>
    <w:p>
      <w:pPr>
        <w:pStyle w:val="18"/>
        <w:tabs>
          <w:tab w:val="left" w:pos="630"/>
          <w:tab w:val="right" w:leader="dot" w:pos="8776"/>
        </w:tabs>
        <w:adjustRightInd w:val="0"/>
        <w:snapToGrid w:val="0"/>
        <w:spacing w:before="93" w:beforeLines="30" w:after="62" w:afterLines="20" w:line="360" w:lineRule="auto"/>
        <w:rPr>
          <w:rFonts w:hint="eastAsia" w:ascii="宋体" w:hAnsi="宋体" w:eastAsia="宋体"/>
          <w:b w:val="0"/>
          <w:bCs w:val="0"/>
          <w:color w:val="000000" w:themeColor="text1"/>
          <w:sz w:val="28"/>
          <w:szCs w:val="28"/>
          <w:lang w:val="en-US" w:eastAsia="zh-CN"/>
          <w14:textFill>
            <w14:solidFill>
              <w14:schemeClr w14:val="tx1"/>
            </w14:solidFill>
          </w14:textFill>
        </w:rPr>
      </w:pPr>
      <w:r>
        <w:fldChar w:fldCharType="begin"/>
      </w:r>
      <w:r>
        <w:instrText xml:space="preserve"> HYPERLINK \l "_Toc103954935" </w:instrText>
      </w:r>
      <w:r>
        <w:fldChar w:fldCharType="separate"/>
      </w:r>
      <w:r>
        <w:rPr>
          <w:rStyle w:val="32"/>
          <w:rFonts w:ascii="宋体" w:hAnsi="宋体" w:cs="黑体"/>
          <w:color w:val="000000" w:themeColor="text1"/>
          <w:sz w:val="28"/>
          <w:szCs w:val="28"/>
          <w14:textFill>
            <w14:solidFill>
              <w14:schemeClr w14:val="tx1"/>
            </w14:solidFill>
          </w14:textFill>
        </w:rPr>
        <w:t>七、</w:t>
      </w:r>
      <w:r>
        <w:rPr>
          <w:rFonts w:ascii="宋体" w:hAnsi="宋体"/>
          <w:b w:val="0"/>
          <w:bCs w:val="0"/>
          <w:color w:val="000000" w:themeColor="text1"/>
          <w:sz w:val="28"/>
          <w:szCs w:val="28"/>
          <w14:textFill>
            <w14:solidFill>
              <w14:schemeClr w14:val="tx1"/>
            </w14:solidFill>
          </w14:textFill>
        </w:rPr>
        <w:tab/>
      </w:r>
      <w:r>
        <w:rPr>
          <w:rStyle w:val="32"/>
          <w:rFonts w:ascii="宋体" w:hAnsi="宋体" w:cs="黑体"/>
          <w:color w:val="000000" w:themeColor="text1"/>
          <w:sz w:val="28"/>
          <w:szCs w:val="28"/>
          <w14:textFill>
            <w14:solidFill>
              <w14:schemeClr w14:val="tx1"/>
            </w14:solidFill>
          </w14:textFill>
        </w:rPr>
        <w:t>其他需要说明的问题</w:t>
      </w:r>
      <w:r>
        <w:rPr>
          <w:rFonts w:ascii="宋体" w:hAnsi="宋体"/>
          <w:color w:val="000000" w:themeColor="text1"/>
          <w:sz w:val="28"/>
          <w:szCs w:val="28"/>
          <w14:textFill>
            <w14:solidFill>
              <w14:schemeClr w14:val="tx1"/>
            </w14:solidFill>
          </w14:textFill>
        </w:rPr>
        <w:tab/>
      </w:r>
      <w:r>
        <w:rPr>
          <w:rFonts w:hint="eastAsia" w:ascii="宋体" w:hAnsi="宋体"/>
          <w:color w:val="000000" w:themeColor="text1"/>
          <w:sz w:val="28"/>
          <w:szCs w:val="28"/>
          <w:lang w:val="en-US" w:eastAsia="zh-CN"/>
          <w14:textFill>
            <w14:solidFill>
              <w14:schemeClr w14:val="tx1"/>
            </w14:solidFill>
          </w14:textFill>
        </w:rPr>
        <w:t>2</w:t>
      </w:r>
      <w:r>
        <w:rPr>
          <w:rFonts w:ascii="宋体" w:hAnsi="宋体"/>
          <w:color w:val="000000" w:themeColor="text1"/>
          <w:sz w:val="28"/>
          <w:szCs w:val="28"/>
          <w14:textFill>
            <w14:solidFill>
              <w14:schemeClr w14:val="tx1"/>
            </w14:solidFill>
          </w14:textFill>
        </w:rPr>
        <w:fldChar w:fldCharType="end"/>
      </w:r>
      <w:r>
        <w:rPr>
          <w:rFonts w:hint="eastAsia" w:ascii="宋体" w:hAnsi="宋体"/>
          <w:color w:val="000000" w:themeColor="text1"/>
          <w:sz w:val="28"/>
          <w:szCs w:val="28"/>
          <w:lang w:val="en-US" w:eastAsia="zh-CN"/>
          <w14:textFill>
            <w14:solidFill>
              <w14:schemeClr w14:val="tx1"/>
            </w14:solidFill>
          </w14:textFill>
        </w:rPr>
        <w:t>0</w:t>
      </w:r>
    </w:p>
    <w:p>
      <w:pPr>
        <w:pStyle w:val="18"/>
        <w:tabs>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fldChar w:fldCharType="begin"/>
      </w:r>
      <w:r>
        <w:instrText xml:space="preserve"> HYPERLINK \l "_Toc103954936" </w:instrText>
      </w:r>
      <w:r>
        <w:fldChar w:fldCharType="separate"/>
      </w:r>
      <w:r>
        <w:rPr>
          <w:rStyle w:val="32"/>
          <w:rFonts w:ascii="宋体" w:hAnsi="宋体"/>
          <w:color w:val="000000" w:themeColor="text1"/>
          <w:sz w:val="28"/>
          <w:szCs w:val="28"/>
          <w14:textFill>
            <w14:solidFill>
              <w14:schemeClr w14:val="tx1"/>
            </w14:solidFill>
          </w14:textFill>
        </w:rPr>
        <w:t>附件</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fldChar w:fldCharType="end"/>
      </w:r>
      <w:r>
        <w:rPr>
          <w:rFonts w:hint="eastAsia" w:ascii="宋体" w:hAnsi="宋体"/>
          <w:color w:val="000000" w:themeColor="text1"/>
          <w:sz w:val="28"/>
          <w:szCs w:val="28"/>
          <w:lang w:val="en-US" w:eastAsia="zh-CN"/>
          <w14:textFill>
            <w14:solidFill>
              <w14:schemeClr w14:val="tx1"/>
            </w14:solidFill>
          </w14:textFill>
        </w:rPr>
        <w:t>20</w:t>
      </w:r>
    </w:p>
    <w:p>
      <w:pPr>
        <w:pStyle w:val="18"/>
        <w:tabs>
          <w:tab w:val="right" w:leader="dot" w:pos="8776"/>
        </w:tabs>
        <w:adjustRightInd w:val="0"/>
        <w:snapToGrid w:val="0"/>
        <w:spacing w:before="93" w:beforeLines="30" w:after="62" w:afterLines="20" w:line="360" w:lineRule="auto"/>
        <w:ind w:firstLine="562" w:firstLineChars="200"/>
        <w:rPr>
          <w:rFonts w:ascii="宋体" w:cs="宋体"/>
          <w:color w:val="000000" w:themeColor="text1"/>
          <w:sz w:val="24"/>
          <w:szCs w:val="24"/>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end"/>
      </w:r>
    </w:p>
    <w:p>
      <w:pPr>
        <w:jc w:val="center"/>
        <w:rPr>
          <w:rFonts w:ascii="宋体"/>
          <w:b/>
          <w:bCs/>
          <w:color w:val="000000" w:themeColor="text1"/>
          <w:sz w:val="36"/>
          <w:szCs w:val="36"/>
          <w14:textFill>
            <w14:solidFill>
              <w14:schemeClr w14:val="tx1"/>
            </w14:solidFill>
          </w14:textFill>
        </w:rPr>
        <w:sectPr>
          <w:headerReference r:id="rId5" w:type="first"/>
          <w:footerReference r:id="rId7" w:type="first"/>
          <w:headerReference r:id="rId3" w:type="default"/>
          <w:headerReference r:id="rId4" w:type="even"/>
          <w:footerReference r:id="rId6" w:type="even"/>
          <w:pgSz w:w="11906" w:h="16838"/>
          <w:pgMar w:top="1418" w:right="1418" w:bottom="1418" w:left="1418" w:header="851" w:footer="992" w:gutter="284"/>
          <w:pgNumType w:start="1"/>
          <w:cols w:space="720" w:num="1"/>
          <w:docGrid w:type="lines" w:linePitch="312" w:charSpace="0"/>
        </w:sectPr>
      </w:pPr>
    </w:p>
    <w:p>
      <w:pPr>
        <w:ind w:left="-178" w:leftChars="-85" w:right="-212" w:rightChars="-101"/>
        <w:jc w:val="center"/>
        <w:rPr>
          <w:rFonts w:hint="eastAsia" w:ascii="黑体" w:hAnsi="黑体" w:eastAsia="黑体" w:cs="黑体"/>
          <w:b/>
          <w:bCs/>
          <w:color w:val="000000" w:themeColor="text1"/>
          <w:sz w:val="40"/>
          <w:szCs w:val="40"/>
          <w:lang w:val="en-US" w:eastAsia="zh-CN"/>
          <w14:textFill>
            <w14:solidFill>
              <w14:schemeClr w14:val="tx1"/>
            </w14:solidFill>
          </w14:textFill>
        </w:rPr>
      </w:pPr>
      <w:bookmarkStart w:id="60" w:name="_GoBack"/>
      <w:r>
        <w:rPr>
          <w:rFonts w:hint="eastAsia" w:ascii="黑体" w:hAnsi="黑体" w:eastAsia="黑体" w:cs="黑体"/>
          <w:b/>
          <w:bCs/>
          <w:color w:val="000000" w:themeColor="text1"/>
          <w:sz w:val="40"/>
          <w:szCs w:val="40"/>
          <w:lang w:val="en-US" w:eastAsia="zh-CN"/>
          <w14:textFill>
            <w14:solidFill>
              <w14:schemeClr w14:val="tx1"/>
            </w14:solidFill>
          </w14:textFill>
        </w:rPr>
        <w:t>中共北京市委统一战线工作部</w:t>
      </w:r>
    </w:p>
    <w:p>
      <w:pPr>
        <w:ind w:left="-178" w:leftChars="-85" w:right="-212" w:rightChars="-101"/>
        <w:jc w:val="center"/>
        <w:rPr>
          <w:rFonts w:hint="eastAsia" w:ascii="黑体" w:hAnsi="黑体" w:eastAsia="黑体" w:cs="黑体"/>
          <w:b/>
          <w:bCs/>
          <w:color w:val="000000" w:themeColor="text1"/>
          <w:sz w:val="40"/>
          <w:szCs w:val="40"/>
          <w14:textFill>
            <w14:solidFill>
              <w14:schemeClr w14:val="tx1"/>
            </w14:solidFill>
          </w14:textFill>
        </w:rPr>
      </w:pPr>
      <w:r>
        <w:rPr>
          <w:rFonts w:hint="eastAsia" w:ascii="黑体" w:hAnsi="黑体" w:eastAsia="黑体" w:cs="黑体"/>
          <w:b/>
          <w:bCs/>
          <w:color w:val="000000" w:themeColor="text1"/>
          <w:sz w:val="40"/>
          <w:szCs w:val="40"/>
          <w:lang w:val="en-US" w:eastAsia="zh-CN"/>
          <w14:textFill>
            <w14:solidFill>
              <w14:schemeClr w14:val="tx1"/>
            </w14:solidFill>
          </w14:textFill>
        </w:rPr>
        <w:t>2022年新媒体建设</w:t>
      </w:r>
      <w:r>
        <w:rPr>
          <w:rFonts w:hint="eastAsia" w:ascii="黑体" w:hAnsi="黑体" w:eastAsia="黑体" w:cs="黑体"/>
          <w:b/>
          <w:bCs/>
          <w:color w:val="000000" w:themeColor="text1"/>
          <w:sz w:val="40"/>
          <w:szCs w:val="40"/>
          <w14:textFill>
            <w14:solidFill>
              <w14:schemeClr w14:val="tx1"/>
            </w14:solidFill>
          </w14:textFill>
        </w:rPr>
        <w:t>项目</w:t>
      </w:r>
    </w:p>
    <w:p>
      <w:pPr>
        <w:ind w:left="-178" w:leftChars="-85" w:right="-212" w:rightChars="-101"/>
        <w:jc w:val="center"/>
        <w:rPr>
          <w:rFonts w:hint="eastAsia" w:ascii="黑体" w:hAnsi="黑体" w:eastAsia="黑体" w:cs="黑体"/>
          <w:b/>
          <w:bCs/>
          <w:color w:val="000000" w:themeColor="text1"/>
          <w:sz w:val="40"/>
          <w:szCs w:val="40"/>
          <w14:textFill>
            <w14:solidFill>
              <w14:schemeClr w14:val="tx1"/>
            </w14:solidFill>
          </w14:textFill>
        </w:rPr>
      </w:pPr>
      <w:r>
        <w:rPr>
          <w:rFonts w:hint="eastAsia" w:ascii="黑体" w:hAnsi="黑体" w:eastAsia="黑体" w:cs="黑体"/>
          <w:b/>
          <w:bCs/>
          <w:color w:val="000000" w:themeColor="text1"/>
          <w:sz w:val="40"/>
          <w:szCs w:val="40"/>
          <w14:textFill>
            <w14:solidFill>
              <w14:schemeClr w14:val="tx1"/>
            </w14:solidFill>
          </w14:textFill>
        </w:rPr>
        <w:t>绩效评价报告</w:t>
      </w:r>
    </w:p>
    <w:p>
      <w:pPr>
        <w:pStyle w:val="3"/>
        <w:ind w:firstLine="643"/>
        <w:rPr>
          <w:color w:val="000000" w:themeColor="text1"/>
          <w14:textFill>
            <w14:solidFill>
              <w14:schemeClr w14:val="tx1"/>
            </w14:solidFill>
          </w14:textFill>
        </w:rPr>
      </w:pPr>
      <w:bookmarkStart w:id="0" w:name="_Toc103954918"/>
      <w:r>
        <w:rPr>
          <w:rFonts w:hint="eastAsia"/>
          <w:color w:val="000000" w:themeColor="text1"/>
          <w14:textFill>
            <w14:solidFill>
              <w14:schemeClr w14:val="tx1"/>
            </w14:solidFill>
          </w14:textFill>
        </w:rPr>
        <w:t>一、基本情况</w:t>
      </w:r>
      <w:bookmarkEnd w:id="0"/>
    </w:p>
    <w:p>
      <w:pPr>
        <w:pStyle w:val="4"/>
        <w:ind w:firstLine="643"/>
        <w:rPr>
          <w:color w:val="000000" w:themeColor="text1"/>
          <w14:textFill>
            <w14:solidFill>
              <w14:schemeClr w14:val="tx1"/>
            </w14:solidFill>
          </w14:textFill>
        </w:rPr>
      </w:pPr>
      <w:bookmarkStart w:id="1" w:name="_Toc103954919"/>
      <w:r>
        <w:rPr>
          <w:rFonts w:hint="eastAsia"/>
          <w:color w:val="000000" w:themeColor="text1"/>
          <w14:textFill>
            <w14:solidFill>
              <w14:schemeClr w14:val="tx1"/>
            </w14:solidFill>
          </w14:textFill>
        </w:rPr>
        <w:t>（一）项目概况</w:t>
      </w:r>
      <w:bookmarkEnd w:id="1"/>
    </w:p>
    <w:p>
      <w:pPr>
        <w:adjustRightInd w:val="0"/>
        <w:snapToGrid w:val="0"/>
        <w:spacing w:line="360" w:lineRule="auto"/>
        <w:ind w:firstLine="643" w:firstLineChars="200"/>
        <w:rPr>
          <w:rFonts w:ascii="仿宋" w:hAnsi="仿宋" w:eastAsia="仿宋"/>
          <w:b/>
          <w:bCs w:val="0"/>
          <w:color w:val="000000" w:themeColor="text1"/>
          <w:sz w:val="32"/>
          <w:szCs w:val="32"/>
          <w14:textFill>
            <w14:solidFill>
              <w14:schemeClr w14:val="tx1"/>
            </w14:solidFill>
          </w14:textFill>
        </w:rPr>
      </w:pPr>
      <w:r>
        <w:rPr>
          <w:rFonts w:ascii="仿宋" w:hAnsi="仿宋" w:eastAsia="仿宋"/>
          <w:b/>
          <w:bCs w:val="0"/>
          <w:color w:val="000000" w:themeColor="text1"/>
          <w:sz w:val="32"/>
          <w:szCs w:val="32"/>
          <w14:textFill>
            <w14:solidFill>
              <w14:schemeClr w14:val="tx1"/>
            </w14:solidFill>
          </w14:textFill>
        </w:rPr>
        <w:t>1.</w:t>
      </w:r>
      <w:r>
        <w:rPr>
          <w:rFonts w:hint="eastAsia" w:ascii="仿宋" w:hAnsi="仿宋" w:eastAsia="仿宋"/>
          <w:b/>
          <w:bCs w:val="0"/>
          <w:color w:val="000000" w:themeColor="text1"/>
          <w:sz w:val="32"/>
          <w:szCs w:val="32"/>
          <w14:textFill>
            <w14:solidFill>
              <w14:schemeClr w14:val="tx1"/>
            </w14:solidFill>
          </w14:textFill>
        </w:rPr>
        <w:t>项目背景</w:t>
      </w:r>
    </w:p>
    <w:p>
      <w:pPr>
        <w:spacing w:line="60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共北京市委统一战线工作部（以下简称“统战部”），实施主体即责任方为统战部。根据职责三定方案，统战部综合事务中心负责统战部新媒体工作。即利用好各类自有新媒体平台开展统战宣传工作，发挥网络传播优势，大力宣传党的统一战线工作；依托新媒体平台，开展线上活动，团结引领统战成员，凝聚思想共识。</w:t>
      </w:r>
    </w:p>
    <w:p>
      <w:pPr>
        <w:spacing w:line="600" w:lineRule="exact"/>
        <w:ind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ascii="仿宋" w:hAnsi="仿宋" w:eastAsia="仿宋"/>
          <w:b/>
          <w:bCs w:val="0"/>
          <w:color w:val="000000" w:themeColor="text1"/>
          <w:sz w:val="32"/>
          <w:szCs w:val="32"/>
          <w14:textFill>
            <w14:solidFill>
              <w14:schemeClr w14:val="tx1"/>
            </w14:solidFill>
          </w14:textFill>
        </w:rPr>
        <w:t>2.</w:t>
      </w:r>
      <w:r>
        <w:rPr>
          <w:rFonts w:hint="eastAsia" w:ascii="仿宋" w:hAnsi="仿宋" w:eastAsia="仿宋"/>
          <w:b/>
          <w:bCs w:val="0"/>
          <w:color w:val="000000" w:themeColor="text1"/>
          <w:sz w:val="32"/>
          <w:szCs w:val="32"/>
          <w14:textFill>
            <w14:solidFill>
              <w14:schemeClr w14:val="tx1"/>
            </w14:solidFill>
          </w14:textFill>
        </w:rPr>
        <w:t>主要内容及实施情况</w:t>
      </w:r>
    </w:p>
    <w:p>
      <w:pPr>
        <w:spacing w:line="60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该项目为延续性项目，2022年项目计划主要工作内容为：一是运维统战部官方微信公众号、抖音及微博，目的为利用新媒体平台宣传党的统一战线的政策、首都统一战线各领域工作和成果以及其他需要宣传的内容；二是统战部会议活动影像资料的拍摄工作，目的为留存影像资料以及重要会议活动的图片视频用于对外宣传；三是制作《百年统战·百年法宝》3集视频，目的为深挖活用红色统战资源，折射党的百年统战光辉历程，回顾统一战线历史上重要时期的关键事、关键点，呈现首都统一战线成员聚力奋进的精神风貌；四是开展“博物馆里的百年统战”读城活动，目的为引导党外代表人士重温统战历史，学习党的创新理论，扩大党外人士线上影响力，打造统战文化品牌。</w:t>
      </w:r>
    </w:p>
    <w:p>
      <w:pPr>
        <w:spacing w:line="600" w:lineRule="exact"/>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 w:hAnsi="仿宋" w:eastAsia="仿宋"/>
          <w:b/>
          <w:bCs w:val="0"/>
          <w:color w:val="000000" w:themeColor="text1"/>
          <w:sz w:val="32"/>
          <w:szCs w:val="32"/>
          <w14:textFill>
            <w14:solidFill>
              <w14:schemeClr w14:val="tx1"/>
            </w14:solidFill>
          </w14:textFill>
        </w:rPr>
        <w:t>3</w:t>
      </w:r>
      <w:r>
        <w:rPr>
          <w:rFonts w:ascii="仿宋" w:hAnsi="仿宋" w:eastAsia="仿宋"/>
          <w:b/>
          <w:bCs w:val="0"/>
          <w:color w:val="000000" w:themeColor="text1"/>
          <w:sz w:val="32"/>
          <w:szCs w:val="32"/>
          <w14:textFill>
            <w14:solidFill>
              <w14:schemeClr w14:val="tx1"/>
            </w14:solidFill>
          </w14:textFill>
        </w:rPr>
        <w:t>.</w:t>
      </w:r>
      <w:r>
        <w:rPr>
          <w:rFonts w:hint="eastAsia" w:ascii="仿宋" w:hAnsi="仿宋" w:eastAsia="仿宋"/>
          <w:b/>
          <w:bCs w:val="0"/>
          <w:color w:val="000000" w:themeColor="text1"/>
          <w:sz w:val="32"/>
          <w:szCs w:val="32"/>
          <w14:textFill>
            <w14:solidFill>
              <w14:schemeClr w14:val="tx1"/>
            </w14:solidFill>
          </w14:textFill>
        </w:rPr>
        <w:t>资金投入和使用情况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（1）资金投入情况</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bookmarkStart w:id="2" w:name="_Toc103954920"/>
      <w:r>
        <w:rPr>
          <w:rFonts w:hint="eastAsia" w:ascii="仿宋_GB2312" w:hAnsi="仿宋_GB2312" w:eastAsia="仿宋_GB2312" w:cs="仿宋_GB2312"/>
          <w:color w:val="000000" w:themeColor="text1"/>
          <w:sz w:val="32"/>
          <w:szCs w:val="32"/>
          <w14:textFill>
            <w14:solidFill>
              <w14:schemeClr w14:val="tx1"/>
            </w14:solidFill>
          </w14:textFill>
        </w:rPr>
        <w:t>该项目年初财政批复预算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万元，其中包括运维统战部新媒体平台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25万元；</w:t>
      </w:r>
      <w:r>
        <w:rPr>
          <w:rFonts w:hint="eastAsia" w:ascii="仿宋_GB2312" w:hAnsi="仿宋_GB2312" w:eastAsia="仿宋_GB2312" w:cs="仿宋_GB2312"/>
          <w:color w:val="000000" w:themeColor="text1"/>
          <w:sz w:val="32"/>
          <w:szCs w:val="32"/>
          <w14:textFill>
            <w14:solidFill>
              <w14:schemeClr w14:val="tx1"/>
            </w14:solidFill>
          </w14:textFill>
        </w:rPr>
        <w:t>会议活动影像资料的拍摄工作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5万元；</w:t>
      </w:r>
      <w:r>
        <w:rPr>
          <w:rFonts w:hint="eastAsia" w:ascii="仿宋_GB2312" w:hAnsi="仿宋_GB2312" w:eastAsia="仿宋_GB2312" w:cs="仿宋_GB2312"/>
          <w:color w:val="000000" w:themeColor="text1"/>
          <w:sz w:val="32"/>
          <w:szCs w:val="32"/>
          <w14:textFill>
            <w14:solidFill>
              <w14:schemeClr w14:val="tx1"/>
            </w14:solidFill>
          </w14:textFill>
        </w:rPr>
        <w:t>制作《百年统战·百年法宝》3集视频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15万元；</w:t>
      </w:r>
      <w:r>
        <w:rPr>
          <w:rFonts w:hint="eastAsia" w:ascii="仿宋_GB2312" w:hAnsi="仿宋_GB2312" w:eastAsia="仿宋_GB2312" w:cs="仿宋_GB2312"/>
          <w:color w:val="000000" w:themeColor="text1"/>
          <w:sz w:val="32"/>
          <w:szCs w:val="32"/>
          <w14:textFill>
            <w14:solidFill>
              <w14:schemeClr w14:val="tx1"/>
            </w14:solidFill>
          </w14:textFill>
        </w:rPr>
        <w:t>开展“博物馆里的百年统战”读城活动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5万元，</w:t>
      </w:r>
      <w:r>
        <w:rPr>
          <w:rFonts w:hint="eastAsia" w:ascii="仿宋_GB2312" w:hAnsi="仿宋_GB2312" w:eastAsia="仿宋_GB2312" w:cs="仿宋_GB2312"/>
          <w:color w:val="000000" w:themeColor="text1"/>
          <w:sz w:val="32"/>
          <w:szCs w:val="32"/>
          <w14:textFill>
            <w14:solidFill>
              <w14:schemeClr w14:val="tx1"/>
            </w14:solidFill>
          </w14:textFill>
        </w:rPr>
        <w:t>资金到位率100%。</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（2）资金使用情况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至</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年12月31日，实际支出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bCs/>
          <w:kern w:val="44"/>
          <w:sz w:val="32"/>
          <w:szCs w:val="32"/>
        </w:rPr>
        <w:t>预算</w:t>
      </w:r>
      <w:r>
        <w:rPr>
          <w:rFonts w:hint="eastAsia" w:ascii="仿宋_GB2312" w:hAnsi="宋体" w:eastAsia="仿宋_GB2312" w:cs="仿宋_GB2312"/>
          <w:sz w:val="32"/>
          <w:szCs w:val="32"/>
        </w:rPr>
        <w:t>执行率</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具体内容包括：</w:t>
      </w:r>
    </w:p>
    <w:tbl>
      <w:tblPr>
        <w:tblStyle w:val="26"/>
        <w:tblW w:w="8513" w:type="dxa"/>
        <w:tblInd w:w="0" w:type="dxa"/>
        <w:tblLayout w:type="fixed"/>
        <w:tblCellMar>
          <w:top w:w="0" w:type="dxa"/>
          <w:left w:w="108" w:type="dxa"/>
          <w:bottom w:w="0" w:type="dxa"/>
          <w:right w:w="108" w:type="dxa"/>
        </w:tblCellMar>
      </w:tblPr>
      <w:tblGrid>
        <w:gridCol w:w="1194"/>
        <w:gridCol w:w="4495"/>
        <w:gridCol w:w="2824"/>
      </w:tblGrid>
      <w:tr>
        <w:tblPrEx>
          <w:tblCellMar>
            <w:top w:w="0" w:type="dxa"/>
            <w:left w:w="108" w:type="dxa"/>
            <w:bottom w:w="0" w:type="dxa"/>
            <w:right w:w="108" w:type="dxa"/>
          </w:tblCellMar>
        </w:tblPrEx>
        <w:trPr>
          <w:trHeight w:val="600"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序号</w:t>
            </w:r>
          </w:p>
        </w:tc>
        <w:tc>
          <w:tcPr>
            <w:tcW w:w="4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费用明细</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实际支出金额（万元）</w:t>
            </w:r>
          </w:p>
        </w:tc>
      </w:tr>
      <w:tr>
        <w:tblPrEx>
          <w:tblCellMar>
            <w:top w:w="0" w:type="dxa"/>
            <w:left w:w="108" w:type="dxa"/>
            <w:bottom w:w="0" w:type="dxa"/>
            <w:right w:w="108" w:type="dxa"/>
          </w:tblCellMar>
        </w:tblPrEx>
        <w:trPr>
          <w:trHeight w:val="600"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1</w:t>
            </w:r>
          </w:p>
        </w:tc>
        <w:tc>
          <w:tcPr>
            <w:tcW w:w="4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运维统战部新媒体平台</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25.00</w:t>
            </w:r>
          </w:p>
        </w:tc>
      </w:tr>
      <w:tr>
        <w:tblPrEx>
          <w:tblCellMar>
            <w:top w:w="0" w:type="dxa"/>
            <w:left w:w="108" w:type="dxa"/>
            <w:bottom w:w="0" w:type="dxa"/>
            <w:right w:w="108" w:type="dxa"/>
          </w:tblCellMar>
        </w:tblPrEx>
        <w:trPr>
          <w:trHeight w:val="600"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2</w:t>
            </w:r>
          </w:p>
        </w:tc>
        <w:tc>
          <w:tcPr>
            <w:tcW w:w="4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会议活动影像资料的拍摄工作</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5.00</w:t>
            </w:r>
          </w:p>
        </w:tc>
      </w:tr>
      <w:tr>
        <w:tblPrEx>
          <w:tblCellMar>
            <w:top w:w="0" w:type="dxa"/>
            <w:left w:w="108" w:type="dxa"/>
            <w:bottom w:w="0" w:type="dxa"/>
            <w:right w:w="108" w:type="dxa"/>
          </w:tblCellMar>
        </w:tblPrEx>
        <w:trPr>
          <w:trHeight w:val="600"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3</w:t>
            </w:r>
          </w:p>
        </w:tc>
        <w:tc>
          <w:tcPr>
            <w:tcW w:w="4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制作《百年统战·百年法宝》3集视频</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15.00</w:t>
            </w:r>
          </w:p>
        </w:tc>
      </w:tr>
      <w:tr>
        <w:tblPrEx>
          <w:tblCellMar>
            <w:top w:w="0" w:type="dxa"/>
            <w:left w:w="108" w:type="dxa"/>
            <w:bottom w:w="0" w:type="dxa"/>
            <w:right w:w="108" w:type="dxa"/>
          </w:tblCellMar>
        </w:tblPrEx>
        <w:trPr>
          <w:trHeight w:val="600"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4</w:t>
            </w:r>
          </w:p>
        </w:tc>
        <w:tc>
          <w:tcPr>
            <w:tcW w:w="4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开展“博物馆里的百年统战”读城活动</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5.00</w:t>
            </w:r>
          </w:p>
        </w:tc>
      </w:tr>
      <w:tr>
        <w:tblPrEx>
          <w:tblCellMar>
            <w:top w:w="0" w:type="dxa"/>
            <w:left w:w="108" w:type="dxa"/>
            <w:bottom w:w="0" w:type="dxa"/>
            <w:right w:w="108" w:type="dxa"/>
          </w:tblCellMar>
        </w:tblPrEx>
        <w:trPr>
          <w:trHeight w:val="600"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p>
        </w:tc>
        <w:tc>
          <w:tcPr>
            <w:tcW w:w="4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合计</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color w:val="000000" w:themeColor="text1"/>
                <w:sz w:val="22"/>
                <w:szCs w:val="22"/>
                <w:lang w:val="en-US"/>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50.00</w:t>
            </w:r>
          </w:p>
        </w:tc>
      </w:tr>
    </w:tbl>
    <w:p>
      <w:pPr>
        <w:pStyle w:val="4"/>
        <w:ind w:firstLine="643"/>
        <w:rPr>
          <w:color w:val="000000" w:themeColor="text1"/>
          <w14:textFill>
            <w14:solidFill>
              <w14:schemeClr w14:val="tx1"/>
            </w14:solidFill>
          </w14:textFill>
        </w:rPr>
      </w:pPr>
      <w:r>
        <w:rPr>
          <w:rFonts w:hint="eastAsia"/>
          <w:color w:val="000000" w:themeColor="text1"/>
          <w14:textFill>
            <w14:solidFill>
              <w14:schemeClr w14:val="tx1"/>
            </w14:solidFill>
          </w14:textFill>
        </w:rPr>
        <w:t>（二）项目绩效目标</w:t>
      </w:r>
      <w:bookmarkEnd w:id="2"/>
    </w:p>
    <w:p>
      <w:pPr>
        <w:pStyle w:val="8"/>
        <w:ind w:firstLine="640" w:firstLineChars="200"/>
        <w:rPr>
          <w:rFonts w:hint="eastAsia" w:ascii="仿宋_GB2312" w:hAnsi="宋体" w:eastAsia="仿宋_GB2312"/>
          <w:sz w:val="32"/>
          <w:szCs w:val="32"/>
          <w:highlight w:val="none"/>
        </w:rPr>
      </w:pPr>
      <w:bookmarkStart w:id="3" w:name="_Toc103954921"/>
      <w:bookmarkStart w:id="4" w:name="_Hlk103335749"/>
      <w:r>
        <w:rPr>
          <w:rFonts w:hint="eastAsia" w:eastAsia="仿宋_GB2312"/>
          <w:bCs/>
          <w:kern w:val="44"/>
          <w:sz w:val="32"/>
          <w:szCs w:val="32"/>
        </w:rPr>
        <w:t>该项目</w:t>
      </w:r>
      <w:r>
        <w:rPr>
          <w:rFonts w:hint="eastAsia" w:ascii="仿宋_GB2312" w:hAnsi="宋体" w:eastAsia="仿宋_GB2312"/>
          <w:sz w:val="32"/>
          <w:szCs w:val="32"/>
        </w:rPr>
        <w:t>总体目标：</w:t>
      </w:r>
      <w:r>
        <w:rPr>
          <w:rFonts w:hint="eastAsia" w:ascii="仿宋_GB2312" w:hAnsi="宋体" w:eastAsia="仿宋_GB2312"/>
          <w:sz w:val="32"/>
          <w:szCs w:val="32"/>
          <w:highlight w:val="none"/>
        </w:rPr>
        <w:t>做好统战部自有新媒体平台的运维，结合2022年主题教育活动，在新媒体平台推出系列专题宣传，大力宣传党的二十大精神和中央统战工作会议精神。结合中央统战工作会议精神，彰显统一战线在各个历史时期发挥的法宝作用，制作《百年统战•百年法宝》3集视频。组织党外人士开展博物馆里的百年统战读城活动，引导党外代表人士重温统战历史，学习党的创新理论，扩大党外人士线上影响力，打造统战文化品牌。把好意识形态关，巩固好新媒体宣传舆论阵地，加强对统战成员的思想引领，不断凝聚政治共识。</w:t>
      </w:r>
    </w:p>
    <w:p>
      <w:pPr>
        <w:spacing w:line="560" w:lineRule="exact"/>
        <w:ind w:firstLine="640" w:firstLineChars="200"/>
        <w:rPr>
          <w:rFonts w:hint="eastAsia" w:ascii="仿宋_GB2312" w:hAnsi="宋体" w:eastAsia="仿宋_GB2312" w:cs="Times New Roman"/>
          <w:kern w:val="2"/>
          <w:sz w:val="32"/>
          <w:szCs w:val="32"/>
          <w:lang w:val="en-US" w:eastAsia="zh-CN" w:bidi="ar-SA"/>
        </w:rPr>
      </w:pPr>
      <w:r>
        <w:rPr>
          <w:rFonts w:hint="eastAsia" w:eastAsia="仿宋_GB2312"/>
          <w:bCs/>
          <w:kern w:val="44"/>
          <w:sz w:val="32"/>
          <w:szCs w:val="32"/>
        </w:rPr>
        <w:t>该项目阶段</w:t>
      </w:r>
      <w:r>
        <w:rPr>
          <w:rFonts w:hint="eastAsia" w:ascii="仿宋_GB2312" w:hAnsi="宋体" w:eastAsia="仿宋_GB2312" w:cs="Times New Roman"/>
          <w:kern w:val="2"/>
          <w:sz w:val="32"/>
          <w:szCs w:val="32"/>
          <w:lang w:val="en-US" w:eastAsia="zh-CN" w:bidi="ar-SA"/>
        </w:rPr>
        <w:t>性目标为：</w:t>
      </w:r>
    </w:p>
    <w:p>
      <w:pPr>
        <w:spacing w:line="560" w:lineRule="exact"/>
        <w:ind w:firstLine="640" w:firstLineChars="200"/>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数量指标：微信公众号：全年总发布≥700篇，累计阅读量≥30万次，抖音：全年发布视频≥200个，总阅读量合计约≥500万，微博：全年发布≥4000余条，总阅读量约≥2000万次；完成拍摄≥50场次；制作3集视频；微博开设“博物馆里的百年统战”话题1个，线下活动2场。</w:t>
      </w:r>
    </w:p>
    <w:p>
      <w:pPr>
        <w:spacing w:line="56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质量指标：排版美观，内容无误，及时制作，按时发布；影像资料清晰，反映活动会议环节完整；视频内容准确，画面清晰完整，配音字幕等符合要求；活动方案制定情况，物料准备情况，各单位配合度，布展完成度，活动气氛融合度100%。</w:t>
      </w:r>
    </w:p>
    <w:p>
      <w:pPr>
        <w:spacing w:line="560" w:lineRule="exact"/>
        <w:ind w:firstLine="640" w:firstLineChars="200"/>
        <w:rPr>
          <w:rFonts w:hint="default" w:ascii="仿宋_GB2312" w:eastAsia="仿宋_GB2312"/>
          <w:bCs/>
          <w:kern w:val="44"/>
          <w:sz w:val="32"/>
          <w:szCs w:val="32"/>
          <w:lang w:val="en-US" w:eastAsia="zh-CN"/>
        </w:rPr>
      </w:pPr>
      <w:r>
        <w:rPr>
          <w:rFonts w:hint="eastAsia" w:ascii="仿宋_GB2312" w:hAnsi="宋体" w:eastAsia="仿宋_GB2312" w:cs="Times New Roman"/>
          <w:kern w:val="2"/>
          <w:sz w:val="32"/>
          <w:szCs w:val="32"/>
          <w:lang w:val="en-US" w:eastAsia="zh-CN" w:bidi="ar-SA"/>
        </w:rPr>
        <w:t>3.时效指标：按照预算批复，完成</w:t>
      </w:r>
      <w:r>
        <w:rPr>
          <w:rFonts w:hint="eastAsia" w:ascii="仿宋_GB2312" w:eastAsia="仿宋_GB2312"/>
          <w:bCs/>
          <w:kern w:val="44"/>
          <w:sz w:val="32"/>
          <w:szCs w:val="32"/>
        </w:rPr>
        <w:t>全年收支指标及工作任务</w:t>
      </w:r>
      <w:r>
        <w:rPr>
          <w:rFonts w:hint="eastAsia" w:ascii="仿宋_GB2312" w:eastAsia="仿宋_GB2312"/>
          <w:bCs/>
          <w:kern w:val="44"/>
          <w:sz w:val="32"/>
          <w:szCs w:val="32"/>
          <w:lang w:val="en-US" w:eastAsia="zh-CN"/>
        </w:rPr>
        <w:t>；</w:t>
      </w:r>
    </w:p>
    <w:p>
      <w:pPr>
        <w:spacing w:line="560" w:lineRule="exact"/>
        <w:ind w:firstLine="640" w:firstLineChars="200"/>
        <w:rPr>
          <w:rFonts w:hint="eastAsia" w:ascii="仿宋_GB2312" w:eastAsia="仿宋_GB2312"/>
          <w:bCs/>
          <w:kern w:val="44"/>
          <w:sz w:val="32"/>
          <w:szCs w:val="32"/>
          <w:lang w:val="en-US" w:eastAsia="zh-CN"/>
        </w:rPr>
      </w:pPr>
      <w:r>
        <w:rPr>
          <w:rFonts w:hint="eastAsia" w:ascii="仿宋_GB2312" w:eastAsia="仿宋_GB2312"/>
          <w:bCs/>
          <w:kern w:val="44"/>
          <w:sz w:val="32"/>
          <w:szCs w:val="32"/>
        </w:rPr>
        <w:t>4.成本指标：严格按照要求编制预算，严格执行预算，少花钱多办事，严格控制实施成本</w:t>
      </w:r>
      <w:r>
        <w:rPr>
          <w:rFonts w:hint="eastAsia" w:ascii="仿宋_GB2312" w:eastAsia="仿宋_GB2312"/>
          <w:bCs/>
          <w:kern w:val="44"/>
          <w:sz w:val="32"/>
          <w:szCs w:val="32"/>
          <w:lang w:val="en-US" w:eastAsia="zh-CN"/>
        </w:rPr>
        <w:t>；</w:t>
      </w:r>
    </w:p>
    <w:p>
      <w:pPr>
        <w:spacing w:line="560" w:lineRule="exact"/>
        <w:ind w:firstLine="640" w:firstLineChars="200"/>
        <w:rPr>
          <w:rFonts w:hint="eastAsia" w:ascii="仿宋_GB2312" w:hAnsi="Times New Roman" w:eastAsia="仿宋_GB2312" w:cs="Times New Roman"/>
          <w:bCs/>
          <w:kern w:val="44"/>
          <w:sz w:val="32"/>
          <w:szCs w:val="32"/>
        </w:rPr>
      </w:pPr>
      <w:r>
        <w:rPr>
          <w:rFonts w:hint="eastAsia" w:ascii="仿宋_GB2312" w:hAnsi="仿宋_GB2312" w:eastAsia="仿宋_GB2312" w:cs="仿宋_GB2312"/>
          <w:bCs/>
          <w:kern w:val="44"/>
          <w:sz w:val="32"/>
          <w:szCs w:val="32"/>
        </w:rPr>
        <w:t>5.社会效益指</w:t>
      </w:r>
      <w:r>
        <w:rPr>
          <w:rFonts w:hint="eastAsia" w:ascii="仿宋_GB2312" w:hAnsi="Times New Roman" w:eastAsia="仿宋_GB2312" w:cs="Times New Roman"/>
          <w:bCs/>
          <w:kern w:val="44"/>
          <w:sz w:val="32"/>
          <w:szCs w:val="32"/>
        </w:rPr>
        <w:t>标：宣传统一战线，团结引领统战成员，凝聚共识；宣传统一战线的法宝作用，宣传中央统战工作会议精神及展现首都统战风采</w:t>
      </w:r>
      <w:r>
        <w:rPr>
          <w:rFonts w:hint="eastAsia" w:ascii="仿宋_GB2312" w:hAnsi="Times New Roman" w:eastAsia="仿宋_GB2312" w:cs="Times New Roman"/>
          <w:bCs/>
          <w:kern w:val="44"/>
          <w:sz w:val="32"/>
          <w:szCs w:val="32"/>
          <w:lang w:eastAsia="zh-CN"/>
        </w:rPr>
        <w:t>；</w:t>
      </w:r>
      <w:r>
        <w:rPr>
          <w:rFonts w:hint="eastAsia" w:ascii="仿宋_GB2312" w:hAnsi="Times New Roman" w:eastAsia="仿宋_GB2312" w:cs="Times New Roman"/>
          <w:bCs/>
          <w:kern w:val="44"/>
          <w:sz w:val="32"/>
          <w:szCs w:val="32"/>
        </w:rPr>
        <w:t>引导党外代表人士重温统战历史，学习党的创新理论，扩大党外人士线上影响力，打造统战文化品牌</w:t>
      </w:r>
    </w:p>
    <w:p>
      <w:pPr>
        <w:spacing w:line="560" w:lineRule="exact"/>
        <w:ind w:firstLine="640" w:firstLineChars="200"/>
        <w:rPr>
          <w:rFonts w:hint="eastAsia" w:ascii="仿宋_GB2312" w:hAnsi="Times New Roman" w:eastAsia="仿宋_GB2312" w:cs="Times New Roman"/>
          <w:bCs/>
          <w:kern w:val="44"/>
          <w:sz w:val="32"/>
          <w:szCs w:val="32"/>
        </w:rPr>
      </w:pPr>
      <w:r>
        <w:rPr>
          <w:rFonts w:hint="eastAsia" w:ascii="仿宋_GB2312" w:hAnsi="Times New Roman" w:eastAsia="仿宋_GB2312" w:cs="Times New Roman"/>
          <w:bCs/>
          <w:kern w:val="44"/>
          <w:sz w:val="32"/>
          <w:szCs w:val="32"/>
        </w:rPr>
        <w:t>6.服务对象满意度指标：服务满意度≥</w:t>
      </w:r>
      <w:r>
        <w:rPr>
          <w:rFonts w:hint="eastAsia" w:ascii="仿宋_GB2312" w:hAnsi="Times New Roman" w:eastAsia="仿宋_GB2312" w:cs="Times New Roman"/>
          <w:bCs/>
          <w:kern w:val="44"/>
          <w:sz w:val="32"/>
          <w:szCs w:val="32"/>
          <w:lang w:val="en-US" w:eastAsia="zh-CN"/>
        </w:rPr>
        <w:t>85%</w:t>
      </w:r>
      <w:r>
        <w:rPr>
          <w:rFonts w:hint="eastAsia" w:ascii="仿宋_GB2312" w:hAnsi="Times New Roman" w:eastAsia="仿宋_GB2312" w:cs="Times New Roman"/>
          <w:bCs/>
          <w:kern w:val="44"/>
          <w:sz w:val="32"/>
          <w:szCs w:val="32"/>
        </w:rPr>
        <w:t>。</w:t>
      </w:r>
    </w:p>
    <w:p>
      <w:pPr>
        <w:pStyle w:val="3"/>
        <w:ind w:firstLine="643"/>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rFonts w:hint="eastAsia" w:ascii="黑体" w:hAnsi="黑体" w:cs="黑体"/>
          <w:color w:val="000000" w:themeColor="text1"/>
          <w:szCs w:val="32"/>
          <w14:textFill>
            <w14:solidFill>
              <w14:schemeClr w14:val="tx1"/>
            </w14:solidFill>
          </w14:textFill>
        </w:rPr>
        <w:t>绩效评价工作开展情况</w:t>
      </w:r>
      <w:bookmarkEnd w:id="3"/>
    </w:p>
    <w:p>
      <w:pPr>
        <w:pStyle w:val="4"/>
        <w:spacing w:before="0" w:after="0" w:line="360" w:lineRule="auto"/>
        <w:ind w:firstLine="643"/>
        <w:rPr>
          <w:rFonts w:ascii="楷体" w:hAnsi="楷体"/>
          <w:color w:val="000000" w:themeColor="text1"/>
          <w:kern w:val="44"/>
          <w14:textFill>
            <w14:solidFill>
              <w14:schemeClr w14:val="tx1"/>
            </w14:solidFill>
          </w14:textFill>
        </w:rPr>
      </w:pPr>
      <w:bookmarkStart w:id="5" w:name="_Toc103954922"/>
      <w:bookmarkStart w:id="6" w:name="_Hlk103336956"/>
      <w:r>
        <w:rPr>
          <w:rFonts w:hint="eastAsia" w:ascii="楷体" w:hAnsi="楷体"/>
          <w:color w:val="000000" w:themeColor="text1"/>
          <w:kern w:val="44"/>
          <w14:textFill>
            <w14:solidFill>
              <w14:schemeClr w14:val="tx1"/>
            </w14:solidFill>
          </w14:textFill>
        </w:rPr>
        <w:t>（一）绩效评价目的、对象和范围</w:t>
      </w:r>
      <w:bookmarkEnd w:id="5"/>
    </w:p>
    <w:p>
      <w:pPr>
        <w:spacing w:before="156" w:beforeLines="50" w:after="156" w:afterLines="50"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ab/>
      </w:r>
      <w:bookmarkStart w:id="7" w:name="_Toc97493747"/>
      <w:r>
        <w:rPr>
          <w:rFonts w:hint="eastAsia" w:ascii="仿宋" w:hAnsi="仿宋" w:eastAsia="仿宋"/>
          <w:b/>
          <w:color w:val="000000" w:themeColor="text1"/>
          <w:sz w:val="32"/>
          <w:szCs w:val="32"/>
          <w14:textFill>
            <w14:solidFill>
              <w14:schemeClr w14:val="tx1"/>
            </w14:solidFill>
          </w14:textFill>
        </w:rPr>
        <w:t>1.绩效评价目的</w:t>
      </w:r>
      <w:bookmarkEnd w:id="7"/>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（1）完成“</w:t>
      </w:r>
      <w:r>
        <w:rPr>
          <w:rFonts w:hint="eastAsia" w:ascii="仿宋" w:hAnsi="仿宋" w:eastAsia="仿宋"/>
          <w:color w:val="000000" w:themeColor="text1"/>
          <w:sz w:val="32"/>
          <w:szCs w:val="32"/>
          <w:lang w:val="en-US" w:eastAsia="zh-CN"/>
          <w14:textFill>
            <w14:solidFill>
              <w14:schemeClr w14:val="tx1"/>
            </w14:solidFill>
          </w14:textFill>
        </w:rPr>
        <w:t>2022年新媒体建设项目</w:t>
      </w:r>
      <w:r>
        <w:rPr>
          <w:rFonts w:hint="eastAsia" w:ascii="仿宋" w:hAnsi="仿宋" w:eastAsia="仿宋"/>
          <w:color w:val="000000" w:themeColor="text1"/>
          <w:sz w:val="32"/>
          <w:szCs w:val="32"/>
          <w14:textFill>
            <w14:solidFill>
              <w14:schemeClr w14:val="tx1"/>
            </w14:solidFill>
          </w14:textFill>
        </w:rPr>
        <w:t>”的绩效评价工作。</w:t>
      </w:r>
    </w:p>
    <w:bookmarkEnd w:id="4"/>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（2）规范财政资金的使用管理，提高财政资金的使用效益和效率。通过绩效评价促进项目单位树立绩效理念，加强项目论证和提高管理水平，保障和促进事业的发展。</w:t>
      </w:r>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（3）完善项目管理模式。通过绩效评价对项目管理模式在执行过程中存在的不足提出合理化建议，完善项目管理模式。</w:t>
      </w:r>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（4）为后续该项目的预算申报和实施提供借鉴。</w:t>
      </w:r>
    </w:p>
    <w:p>
      <w:pPr>
        <w:spacing w:line="360" w:lineRule="auto"/>
        <w:ind w:firstLine="655" w:firstLineChars="204"/>
        <w:rPr>
          <w:rFonts w:ascii="仿宋" w:hAnsi="仿宋" w:eastAsia="仿宋"/>
          <w:b/>
          <w:color w:val="000000" w:themeColor="text1"/>
          <w:sz w:val="32"/>
          <w:szCs w:val="32"/>
          <w14:textFill>
            <w14:solidFill>
              <w14:schemeClr w14:val="tx1"/>
            </w14:solidFill>
          </w14:textFill>
        </w:rPr>
      </w:pPr>
      <w:bookmarkStart w:id="8" w:name="_Toc97493748"/>
      <w:r>
        <w:rPr>
          <w:rFonts w:hint="eastAsia" w:ascii="仿宋" w:hAnsi="仿宋" w:eastAsia="仿宋"/>
          <w:b/>
          <w:color w:val="000000" w:themeColor="text1"/>
          <w:sz w:val="32"/>
          <w:szCs w:val="32"/>
          <w14:textFill>
            <w14:solidFill>
              <w14:schemeClr w14:val="tx1"/>
            </w14:solidFill>
          </w14:textFill>
        </w:rPr>
        <w:t>2.绩效评价对象</w:t>
      </w:r>
      <w:bookmarkEnd w:id="8"/>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绩效评价对象为“</w:t>
      </w:r>
      <w:r>
        <w:rPr>
          <w:rFonts w:hint="eastAsia" w:ascii="仿宋" w:hAnsi="仿宋" w:eastAsia="仿宋"/>
          <w:color w:val="000000" w:themeColor="text1"/>
          <w:sz w:val="32"/>
          <w:szCs w:val="32"/>
          <w:lang w:val="en-US" w:eastAsia="zh-CN"/>
          <w14:textFill>
            <w14:solidFill>
              <w14:schemeClr w14:val="tx1"/>
            </w14:solidFill>
          </w14:textFill>
        </w:rPr>
        <w:t>2022年新媒体建设项目</w:t>
      </w:r>
      <w:r>
        <w:rPr>
          <w:rFonts w:hint="eastAsia" w:ascii="仿宋" w:hAnsi="仿宋" w:eastAsia="仿宋"/>
          <w:color w:val="000000" w:themeColor="text1"/>
          <w:sz w:val="32"/>
          <w:szCs w:val="32"/>
          <w14:textFill>
            <w14:solidFill>
              <w14:schemeClr w14:val="tx1"/>
            </w14:solidFill>
          </w14:textFill>
        </w:rPr>
        <w:t>”。评价内容：从项目决策、过程管理、项目产出和效益四个方面评价项目绩效目标的设定情况、资金的投入使用情况、组织管理情况、绩效目标的实现程度及效果等。</w:t>
      </w:r>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bookmarkStart w:id="9" w:name="_Toc97493749"/>
      <w:r>
        <w:rPr>
          <w:rFonts w:hint="eastAsia" w:ascii="仿宋" w:hAnsi="仿宋" w:eastAsia="仿宋" w:cs="仿宋"/>
          <w:b/>
          <w:color w:val="000000" w:themeColor="text1"/>
          <w:sz w:val="32"/>
          <w:szCs w:val="32"/>
          <w14:textFill>
            <w14:solidFill>
              <w14:schemeClr w14:val="tx1"/>
            </w14:solidFill>
          </w14:textFill>
        </w:rPr>
        <w:t>3.绩效评价范围</w:t>
      </w:r>
      <w:bookmarkEnd w:id="9"/>
    </w:p>
    <w:p>
      <w:pPr>
        <w:spacing w:line="360" w:lineRule="auto"/>
        <w:ind w:firstLine="652" w:firstLineChars="204"/>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绩效评</w:t>
      </w:r>
      <w:r>
        <w:rPr>
          <w:rFonts w:hint="eastAsia" w:ascii="仿宋" w:hAnsi="仿宋" w:eastAsia="仿宋"/>
          <w:color w:val="000000" w:themeColor="text1"/>
          <w:sz w:val="32"/>
          <w:szCs w:val="32"/>
          <w14:textFill>
            <w14:solidFill>
              <w14:schemeClr w14:val="tx1"/>
            </w14:solidFill>
          </w14:textFill>
        </w:rPr>
        <w:t>价的范围主要包括以下几个方面：</w:t>
      </w:r>
    </w:p>
    <w:p>
      <w:pPr>
        <w:spacing w:line="360" w:lineRule="auto"/>
        <w:ind w:firstLine="652" w:firstLineChars="204"/>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（1）决策情况；</w:t>
      </w:r>
    </w:p>
    <w:p>
      <w:pPr>
        <w:spacing w:line="360" w:lineRule="auto"/>
        <w:ind w:firstLine="652" w:firstLineChars="204"/>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（2）资金投入管理和使用情况；</w:t>
      </w:r>
    </w:p>
    <w:p>
      <w:pPr>
        <w:spacing w:line="360" w:lineRule="auto"/>
        <w:ind w:firstLine="652" w:firstLineChars="204"/>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（3）相关管理制度办法的健全性及执行情况；</w:t>
      </w:r>
    </w:p>
    <w:p>
      <w:pPr>
        <w:spacing w:line="360" w:lineRule="auto"/>
        <w:ind w:firstLine="652" w:firstLineChars="204"/>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（4）实现的产出情况；</w:t>
      </w:r>
    </w:p>
    <w:p>
      <w:pPr>
        <w:spacing w:line="360" w:lineRule="auto"/>
        <w:ind w:firstLine="652" w:firstLineChars="204"/>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（5）取得的效益情况；</w:t>
      </w:r>
    </w:p>
    <w:p>
      <w:pPr>
        <w:spacing w:line="360" w:lineRule="auto"/>
        <w:ind w:firstLine="652" w:firstLineChars="204"/>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（6）其他相关内容。</w:t>
      </w:r>
    </w:p>
    <w:p>
      <w:pPr>
        <w:pStyle w:val="4"/>
        <w:spacing w:before="0" w:after="0" w:line="360" w:lineRule="auto"/>
        <w:ind w:firstLine="643"/>
        <w:rPr>
          <w:rFonts w:hint="eastAsia" w:ascii="楷体" w:hAnsi="楷体"/>
          <w:color w:val="000000" w:themeColor="text1"/>
          <w:kern w:val="44"/>
          <w14:textFill>
            <w14:solidFill>
              <w14:schemeClr w14:val="tx1"/>
            </w14:solidFill>
          </w14:textFill>
        </w:rPr>
      </w:pPr>
      <w:bookmarkStart w:id="10" w:name="_Toc11315"/>
      <w:bookmarkStart w:id="11" w:name="_Toc97493889"/>
      <w:bookmarkStart w:id="12" w:name="_Toc103954923"/>
      <w:bookmarkStart w:id="13" w:name="_Toc103333171"/>
      <w:r>
        <w:rPr>
          <w:rFonts w:hint="eastAsia" w:ascii="楷体" w:hAnsi="楷体"/>
          <w:color w:val="000000" w:themeColor="text1"/>
          <w:kern w:val="44"/>
          <w14:textFill>
            <w14:solidFill>
              <w14:schemeClr w14:val="tx1"/>
            </w14:solidFill>
          </w14:textFill>
        </w:rPr>
        <w:t>（二）绩效评价原则、评价指标体系、评价方法、评价标准</w:t>
      </w:r>
      <w:bookmarkEnd w:id="10"/>
      <w:bookmarkEnd w:id="11"/>
      <w:bookmarkEnd w:id="12"/>
      <w:bookmarkEnd w:id="13"/>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1.绩效评价原则</w:t>
      </w:r>
    </w:p>
    <w:p>
      <w:pPr>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本次绩效评价遵循科学规范、公正公开、分级分类、绩效相关的原则，对项目决策、过程管理和产出及效益进行评价，全面、客观反映项目实施情况。具体说明如下：</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（1）科学规范原则。绩效评价严格执行规定的程序，按照科学可行的要求，采用定量与定性分析相结合的方法。</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（2）公正公开原则。绩效评价符合真实、客观、公正的要求，依法公开并接受监督。</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（3）分级分类原则。绩效评价根据评价对象的特点组织实施。</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（4）绩效相关原则。绩效评价针对具体支出及其产出绩效进行，评价结果清晰反映支出和产出绩效之间的紧密对应关系。</w:t>
      </w:r>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 评价指标体系</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评价工作组接受委托后，根据北京市财政局《北京市项目支出绩效评价管理办法》（</w:t>
      </w:r>
      <w:r>
        <w:rPr>
          <w:rFonts w:hint="eastAsia" w:ascii="仿宋" w:hAnsi="仿宋" w:eastAsia="仿宋" w:cs="仿宋"/>
          <w:color w:val="000000" w:themeColor="text1"/>
          <w:sz w:val="32"/>
          <w:szCs w:val="32"/>
          <w:lang w:val="en-US" w:eastAsia="zh-CN"/>
          <w14:textFill>
            <w14:solidFill>
              <w14:schemeClr w14:val="tx1"/>
            </w14:solidFill>
          </w14:textFill>
        </w:rPr>
        <w:t>京财绩效</w:t>
      </w:r>
      <w:r>
        <w:rPr>
          <w:rFonts w:hint="eastAsia" w:ascii="仿宋" w:hAnsi="仿宋" w:eastAsia="仿宋" w:cs="仿宋"/>
          <w:color w:val="000000" w:themeColor="text1"/>
          <w:sz w:val="32"/>
          <w:szCs w:val="32"/>
          <w14:textFill>
            <w14:solidFill>
              <w14:schemeClr w14:val="tx1"/>
            </w14:solidFill>
          </w14:textFill>
        </w:rPr>
        <w:t>[2020]2146）等文件规定，结合项目特点，确定了评价指标体系。</w:t>
      </w:r>
    </w:p>
    <w:p>
      <w:pPr>
        <w:spacing w:line="360" w:lineRule="auto"/>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该项目指标体系满分100分，分为项目决策、项目管理、项目产出和项目效益4个一级指标，其中项目决策指标下设项目立项、绩效目标、资金投入</w:t>
      </w: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个二级指标；</w:t>
      </w:r>
      <w:bookmarkStart w:id="14" w:name="_Hlk103004425"/>
      <w:r>
        <w:rPr>
          <w:rFonts w:hint="eastAsia" w:ascii="仿宋" w:hAnsi="仿宋" w:eastAsia="仿宋" w:cs="仿宋"/>
          <w:color w:val="000000" w:themeColor="text1"/>
          <w:sz w:val="32"/>
          <w:szCs w:val="32"/>
          <w14:textFill>
            <w14:solidFill>
              <w14:schemeClr w14:val="tx1"/>
            </w14:solidFill>
          </w14:textFill>
        </w:rPr>
        <w:t>项目管理指标下设资金管理、组织实施</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个二级指标</w:t>
      </w:r>
      <w:bookmarkEnd w:id="14"/>
      <w:r>
        <w:rPr>
          <w:rFonts w:hint="eastAsia" w:ascii="仿宋" w:hAnsi="仿宋" w:eastAsia="仿宋" w:cs="仿宋"/>
          <w:color w:val="000000" w:themeColor="text1"/>
          <w:sz w:val="32"/>
          <w:szCs w:val="32"/>
          <w14:textFill>
            <w14:solidFill>
              <w14:schemeClr w14:val="tx1"/>
            </w14:solidFill>
          </w14:textFill>
        </w:rPr>
        <w:t>；项目产出指标下设产出数量、产出质量、产出时效、产出成本4个二级指标；项目效益指标下设社会效益、可持续影响、服务对象满意度</w:t>
      </w: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个二级指标。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详见附件</w:t>
      </w:r>
      <w:r>
        <w:rPr>
          <w:rFonts w:hint="eastAsia" w:ascii="仿宋" w:hAnsi="仿宋" w:eastAsia="仿宋" w:cs="仿宋"/>
          <w:color w:val="000000" w:themeColor="text1"/>
          <w:sz w:val="32"/>
          <w:szCs w:val="32"/>
          <w:lang w:eastAsia="zh-CN"/>
          <w14:textFill>
            <w14:solidFill>
              <w14:schemeClr w14:val="tx1"/>
            </w14:solidFill>
          </w14:textFill>
        </w:rPr>
        <w:t>）</w:t>
      </w:r>
    </w:p>
    <w:bookmarkEnd w:id="6"/>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bookmarkStart w:id="15" w:name="_Toc103194692"/>
      <w:bookmarkStart w:id="16" w:name="_Hlk103335774"/>
      <w:bookmarkStart w:id="17" w:name="_Toc325442842"/>
      <w:r>
        <w:rPr>
          <w:rFonts w:hint="eastAsia" w:ascii="仿宋" w:hAnsi="仿宋" w:eastAsia="仿宋" w:cs="仿宋"/>
          <w:b/>
          <w:color w:val="000000" w:themeColor="text1"/>
          <w:sz w:val="32"/>
          <w:szCs w:val="32"/>
          <w14:textFill>
            <w14:solidFill>
              <w14:schemeClr w14:val="tx1"/>
            </w14:solidFill>
          </w14:textFill>
        </w:rPr>
        <w:t>3.绩效评价方法</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本次绩效评价采用定量和定性评价相结合的比较分析法,总分由各项指标得分汇总形成。</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定量指标得分按照以下方法评定：与年初指标值相比，完成指标值的，该指标计全部分值；如果是由于年初指标值设定明显偏低造成的，要按照偏离度适度调减分值；未完成指标值的，按照完成值在指标值中所占比例记分。</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定性指标得分按照以下方法评定：根据指标完成情况分为完全达成年度指标、基本达成年度指标且有一定效果、部分达成年度指标、未达成年度指标且效果较差4档，分别按照该指标对应分值区间100%-90%（含90%）、90-80%（含80%）、80%-60%（含60%）、60%-0合理确定分值。各项绩效指标得分汇总成该项目自评的总分。</w:t>
      </w:r>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4.绩效评价标准</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本次绩效评价采取评分和评级相结合的方式，具体分为4个等级：</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综合得分90分（含）以上，绩效级别评定为优秀；</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综合得分80分（含）-90分之间，绩效级别评定为良好；</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综合得分60（含）-80分之间，绩效级别评定为中；</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综合得分60分以下，绩效级别评定为差。</w:t>
      </w:r>
    </w:p>
    <w:p>
      <w:pPr>
        <w:pStyle w:val="4"/>
        <w:ind w:firstLine="643"/>
        <w:rPr>
          <w:color w:val="000000" w:themeColor="text1"/>
          <w14:textFill>
            <w14:solidFill>
              <w14:schemeClr w14:val="tx1"/>
            </w14:solidFill>
          </w14:textFill>
        </w:rPr>
      </w:pPr>
      <w:bookmarkStart w:id="18" w:name="_Toc103954924"/>
      <w:bookmarkStart w:id="19" w:name="_Toc20877"/>
      <w:bookmarkStart w:id="20" w:name="_Toc103333172"/>
      <w:r>
        <w:rPr>
          <w:rFonts w:hint="eastAsia"/>
          <w:color w:val="000000" w:themeColor="text1"/>
          <w14:textFill>
            <w14:solidFill>
              <w14:schemeClr w14:val="tx1"/>
            </w14:solidFill>
          </w14:textFill>
        </w:rPr>
        <w:t>（三）绩效评价</w:t>
      </w:r>
      <w:bookmarkEnd w:id="15"/>
      <w:r>
        <w:rPr>
          <w:rFonts w:hint="eastAsia"/>
          <w:color w:val="000000" w:themeColor="text1"/>
          <w14:textFill>
            <w14:solidFill>
              <w14:schemeClr w14:val="tx1"/>
            </w14:solidFill>
          </w14:textFill>
        </w:rPr>
        <w:t>工作过程</w:t>
      </w:r>
      <w:bookmarkEnd w:id="18"/>
      <w:bookmarkEnd w:id="19"/>
      <w:bookmarkEnd w:id="20"/>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1.基本情况</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评价工作组接受委托后，根据北京市财政局</w:t>
      </w:r>
      <w:r>
        <w:rPr>
          <w:rFonts w:hint="eastAsia" w:ascii="仿宋" w:hAnsi="仿宋" w:eastAsia="仿宋"/>
          <w:color w:val="000000" w:themeColor="text1"/>
          <w:sz w:val="32"/>
          <w:szCs w:val="32"/>
          <w:lang w:val="en-US" w:eastAsia="zh-CN"/>
          <w14:textFill>
            <w14:solidFill>
              <w14:schemeClr w14:val="tx1"/>
            </w14:solidFill>
          </w14:textFill>
        </w:rPr>
        <w:t>相关</w:t>
      </w:r>
      <w:r>
        <w:rPr>
          <w:rFonts w:hint="eastAsia" w:ascii="仿宋" w:hAnsi="仿宋" w:eastAsia="仿宋"/>
          <w:color w:val="000000" w:themeColor="text1"/>
          <w:sz w:val="32"/>
          <w:szCs w:val="32"/>
          <w14:textFill>
            <w14:solidFill>
              <w14:schemeClr w14:val="tx1"/>
            </w14:solidFill>
          </w14:textFill>
        </w:rPr>
        <w:t>文件规定，辅导、审核项目单位编写绩效自评报告；深入项目单位调研，了解项目情况；制定、细化项目评价指标体系；编制项目评价方案和专家工作手册，确定评价方法。</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经过充分的前期准备，评价工作组于202</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日组织了专家评价会。本次评价会专家组包括2名业务专家、1名财务专家、2名绩效管理专家。</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评价组专家采用抽样、问询、复核方式详细了解了项目绩效执行情况，提出了有关意见，并详细填写了《专家评价书》。</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根据专家组综合意见，评价工作组出具了《专家意见汇总书》和《绩效评价报告》以及相关附件，并上报提交给项目单位。</w:t>
      </w:r>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2.评价组织实施</w:t>
      </w:r>
    </w:p>
    <w:bookmarkEnd w:id="16"/>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绩效评价工作程序主要分为评价准备、评价实施、评价总结三个阶段。</w:t>
      </w:r>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bookmarkStart w:id="21" w:name="_Toc371943466"/>
      <w:r>
        <w:rPr>
          <w:rFonts w:hint="eastAsia" w:ascii="仿宋" w:hAnsi="仿宋" w:eastAsia="仿宋"/>
          <w:b/>
          <w:color w:val="000000" w:themeColor="text1"/>
          <w:sz w:val="32"/>
          <w:szCs w:val="32"/>
          <w14:textFill>
            <w14:solidFill>
              <w14:schemeClr w14:val="tx1"/>
            </w14:solidFill>
          </w14:textFill>
        </w:rPr>
        <w:t>评价准备阶段</w:t>
      </w:r>
      <w:bookmarkEnd w:id="21"/>
      <w:r>
        <w:rPr>
          <w:rFonts w:hint="eastAsia" w:ascii="仿宋" w:hAnsi="仿宋" w:eastAsia="仿宋"/>
          <w:b/>
          <w:color w:val="000000" w:themeColor="text1"/>
          <w:sz w:val="32"/>
          <w:szCs w:val="32"/>
          <w14:textFill>
            <w14:solidFill>
              <w14:schemeClr w14:val="tx1"/>
            </w14:solidFill>
          </w14:textFill>
        </w:rPr>
        <w:t>：</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）成立绩效评价工作组，并对项目评价工作人员进行业务培训。</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（2）评价工作组入户，与项目单位进行初步沟通，了解项目申报及执行情况，收集业务资料。</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）项目单位归集整理项目工作进展及资金运用情况、目标内容的完成情况。</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）评价工作组制订项目评价方案，形成评价指标体系初稿。</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）评价工作组辅导项目单位编写项目绩效自评报告。同时，遵循客观、公正的原则，在北京市财政局专家库中抽选</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名业务专家、</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名管理专家及</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名财务专家，组成绩效评价专家组。</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）评价工作组根据前段工作情况，补充完善相关资料，细化评价指标体系。</w:t>
      </w:r>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bookmarkStart w:id="22" w:name="_Toc371943467"/>
      <w:r>
        <w:rPr>
          <w:rFonts w:hint="eastAsia" w:ascii="仿宋" w:hAnsi="仿宋" w:eastAsia="仿宋"/>
          <w:b/>
          <w:color w:val="000000" w:themeColor="text1"/>
          <w:sz w:val="32"/>
          <w:szCs w:val="32"/>
          <w14:textFill>
            <w14:solidFill>
              <w14:schemeClr w14:val="tx1"/>
            </w14:solidFill>
          </w14:textFill>
        </w:rPr>
        <w:t>评价实施阶段</w:t>
      </w:r>
      <w:bookmarkEnd w:id="22"/>
      <w:r>
        <w:rPr>
          <w:rFonts w:hint="eastAsia" w:ascii="仿宋" w:hAnsi="仿宋" w:eastAsia="仿宋"/>
          <w:b/>
          <w:color w:val="000000" w:themeColor="text1"/>
          <w:sz w:val="32"/>
          <w:szCs w:val="32"/>
          <w14:textFill>
            <w14:solidFill>
              <w14:schemeClr w14:val="tx1"/>
            </w14:solidFill>
          </w14:textFill>
        </w:rPr>
        <w:t>：</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）项目绩效自评报告复核。评价工作组在规定时间内，按要求对提交的项目绩效自评报告和相关材料进行复核。对重要的和存在疑问的基础数据资料进行核实确认，确保评价数据的真实性。</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）编制专家评价手册，准备专家评价会议所需资料。</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）组织召开专家评价会，组织实施评价。</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）汇总专家意见，形成评价报告初稿。</w:t>
      </w:r>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bookmarkStart w:id="23" w:name="_Toc371943468"/>
      <w:r>
        <w:rPr>
          <w:rFonts w:hint="eastAsia" w:ascii="仿宋" w:hAnsi="仿宋" w:eastAsia="仿宋"/>
          <w:b/>
          <w:color w:val="000000" w:themeColor="text1"/>
          <w:sz w:val="32"/>
          <w:szCs w:val="32"/>
          <w14:textFill>
            <w14:solidFill>
              <w14:schemeClr w14:val="tx1"/>
            </w14:solidFill>
          </w14:textFill>
        </w:rPr>
        <w:t>评价总结阶段</w:t>
      </w:r>
      <w:bookmarkEnd w:id="23"/>
      <w:r>
        <w:rPr>
          <w:rFonts w:hint="eastAsia" w:ascii="仿宋" w:hAnsi="仿宋" w:eastAsia="仿宋"/>
          <w:b/>
          <w:color w:val="000000" w:themeColor="text1"/>
          <w:sz w:val="32"/>
          <w:szCs w:val="32"/>
          <w14:textFill>
            <w14:solidFill>
              <w14:schemeClr w14:val="tx1"/>
            </w14:solidFill>
          </w14:textFill>
        </w:rPr>
        <w:t>：</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）与项目单位沟通意见，在充分研究论证的基础上，修改和完善项目绩效评价报告。</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）协助做好此次评价后续工作。</w:t>
      </w:r>
    </w:p>
    <w:p>
      <w:pPr>
        <w:pStyle w:val="3"/>
        <w:ind w:firstLine="643"/>
        <w:rPr>
          <w:rFonts w:ascii="黑体" w:hAnsi="黑体" w:cs="黑体"/>
          <w:color w:val="000000" w:themeColor="text1"/>
          <w:szCs w:val="32"/>
          <w14:textFill>
            <w14:solidFill>
              <w14:schemeClr w14:val="tx1"/>
            </w14:solidFill>
          </w14:textFill>
        </w:rPr>
      </w:pPr>
      <w:bookmarkStart w:id="24" w:name="_Toc103954925"/>
      <w:r>
        <w:rPr>
          <w:rFonts w:hint="eastAsia" w:ascii="黑体" w:hAnsi="黑体"/>
          <w:color w:val="000000" w:themeColor="text1"/>
          <w:szCs w:val="32"/>
          <w14:textFill>
            <w14:solidFill>
              <w14:schemeClr w14:val="tx1"/>
            </w14:solidFill>
          </w14:textFill>
        </w:rPr>
        <w:t>三、</w:t>
      </w:r>
      <w:r>
        <w:rPr>
          <w:rFonts w:hint="eastAsia" w:ascii="黑体" w:hAnsi="黑体" w:cs="黑体"/>
          <w:color w:val="000000" w:themeColor="text1"/>
          <w:szCs w:val="32"/>
          <w14:textFill>
            <w14:solidFill>
              <w14:schemeClr w14:val="tx1"/>
            </w14:solidFill>
          </w14:textFill>
        </w:rPr>
        <w:t>综合评价情况及评价结论</w:t>
      </w:r>
      <w:bookmarkEnd w:id="24"/>
    </w:p>
    <w:p>
      <w:pPr>
        <w:spacing w:line="360" w:lineRule="auto"/>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该项目立项背景较完善，总体绩效目标较明确，相关管理制度较为完善</w:t>
      </w:r>
      <w:r>
        <w:rPr>
          <w:rFonts w:hint="eastAsia" w:ascii="仿宋" w:hAnsi="仿宋" w:eastAsia="仿宋"/>
          <w:color w:val="000000" w:themeColor="text1"/>
          <w:sz w:val="32"/>
          <w:szCs w:val="32"/>
          <w:highlight w:val="none"/>
          <w14:textFill>
            <w14:solidFill>
              <w14:schemeClr w14:val="tx1"/>
            </w14:solidFill>
          </w14:textFill>
        </w:rPr>
        <w:t>，基本完成了项目内容设计的目标，项目实施效果较好。但在项目实施的过程中存在</w:t>
      </w:r>
      <w:r>
        <w:rPr>
          <w:rFonts w:hint="eastAsia" w:ascii="仿宋_GB2312" w:hAnsi="宋体" w:eastAsia="仿宋_GB2312" w:cs="仿宋_GB2312"/>
          <w:sz w:val="32"/>
          <w:szCs w:val="32"/>
          <w:highlight w:val="none"/>
        </w:rPr>
        <w:t>绩效目标填报不够规范</w:t>
      </w:r>
      <w:r>
        <w:rPr>
          <w:rFonts w:hint="eastAsia" w:ascii="仿宋" w:hAnsi="仿宋" w:eastAsia="仿宋"/>
          <w:color w:val="000000" w:themeColor="text1"/>
          <w:sz w:val="32"/>
          <w:szCs w:val="32"/>
          <w:highlight w:val="none"/>
          <w:lang w:val="en-US" w:eastAsia="zh-CN"/>
          <w14:textFill>
            <w14:solidFill>
              <w14:schemeClr w14:val="tx1"/>
            </w14:solidFill>
          </w14:textFill>
        </w:rPr>
        <w:t>，</w:t>
      </w:r>
      <w:r>
        <w:rPr>
          <w:rFonts w:hint="eastAsia" w:ascii="仿宋_GB2312" w:hAnsi="宋体" w:eastAsia="仿宋_GB2312" w:cs="仿宋_GB2312"/>
          <w:sz w:val="32"/>
          <w:szCs w:val="32"/>
          <w:highlight w:val="none"/>
        </w:rPr>
        <w:t>预算编制不够细化</w:t>
      </w:r>
      <w:r>
        <w:rPr>
          <w:rFonts w:hint="eastAsia" w:ascii="仿宋_GB2312" w:hAnsi="宋体" w:eastAsia="仿宋_GB2312" w:cs="仿宋_GB2312"/>
          <w:sz w:val="32"/>
          <w:szCs w:val="32"/>
          <w:highlight w:val="none"/>
          <w:lang w:eastAsia="zh-CN"/>
        </w:rPr>
        <w:t>，</w:t>
      </w:r>
      <w:r>
        <w:rPr>
          <w:rFonts w:hint="eastAsia" w:ascii="仿宋" w:hAnsi="仿宋" w:eastAsia="仿宋"/>
          <w:color w:val="000000" w:themeColor="text1"/>
          <w:sz w:val="32"/>
          <w:szCs w:val="32"/>
          <w:highlight w:val="none"/>
          <w:lang w:val="en-US" w:eastAsia="zh-CN"/>
          <w14:textFill>
            <w14:solidFill>
              <w14:schemeClr w14:val="tx1"/>
            </w14:solidFill>
          </w14:textFill>
        </w:rPr>
        <w:t>项目绩效成果体现不足等问题</w:t>
      </w:r>
      <w:r>
        <w:rPr>
          <w:rFonts w:hint="eastAsia" w:ascii="仿宋" w:hAnsi="仿宋" w:eastAsia="仿宋"/>
          <w:color w:val="000000" w:themeColor="text1"/>
          <w:sz w:val="32"/>
          <w:szCs w:val="32"/>
          <w:highlight w:val="none"/>
          <w14:textFill>
            <w14:solidFill>
              <w14:schemeClr w14:val="tx1"/>
            </w14:solidFill>
          </w14:textFill>
        </w:rPr>
        <w:t>。</w:t>
      </w:r>
    </w:p>
    <w:p>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该项目综合评价得分</w:t>
      </w:r>
      <w:r>
        <w:rPr>
          <w:rFonts w:hint="eastAsia" w:ascii="仿宋" w:hAnsi="仿宋" w:eastAsia="仿宋"/>
          <w:color w:val="000000" w:themeColor="text1"/>
          <w:sz w:val="32"/>
          <w:szCs w:val="32"/>
          <w:lang w:val="en-US" w:eastAsia="zh-CN"/>
          <w14:textFill>
            <w14:solidFill>
              <w14:schemeClr w14:val="tx1"/>
            </w14:solidFill>
          </w14:textFill>
        </w:rPr>
        <w:t>85.1</w:t>
      </w:r>
      <w:r>
        <w:rPr>
          <w:rFonts w:hint="eastAsia" w:ascii="仿宋" w:hAnsi="仿宋" w:eastAsia="仿宋"/>
          <w:color w:val="000000" w:themeColor="text1"/>
          <w:sz w:val="32"/>
          <w:szCs w:val="32"/>
          <w14:textFill>
            <w14:solidFill>
              <w14:schemeClr w14:val="tx1"/>
            </w14:solidFill>
          </w14:textFill>
        </w:rPr>
        <w:t>分，总体看来，项目执行情况为</w:t>
      </w:r>
      <w:r>
        <w:rPr>
          <w:rFonts w:hint="eastAsia" w:ascii="仿宋" w:hAnsi="仿宋" w:eastAsia="仿宋"/>
          <w:color w:val="000000" w:themeColor="text1"/>
          <w:sz w:val="32"/>
          <w:szCs w:val="32"/>
          <w:lang w:val="en-US" w:eastAsia="zh-CN"/>
          <w14:textFill>
            <w14:solidFill>
              <w14:schemeClr w14:val="tx1"/>
            </w14:solidFill>
          </w14:textFill>
        </w:rPr>
        <w:t>良</w:t>
      </w:r>
      <w:r>
        <w:rPr>
          <w:rFonts w:hint="eastAsia" w:ascii="仿宋" w:hAnsi="仿宋" w:eastAsia="仿宋"/>
          <w:color w:val="000000" w:themeColor="text1"/>
          <w:sz w:val="32"/>
          <w:szCs w:val="32"/>
          <w14:textFill>
            <w14:solidFill>
              <w14:schemeClr w14:val="tx1"/>
            </w14:solidFill>
          </w14:textFill>
        </w:rPr>
        <w:t>。该项目得分和级别评定情况如下：</w:t>
      </w:r>
    </w:p>
    <w:p>
      <w:pPr>
        <w:pStyle w:val="8"/>
        <w:rPr>
          <w:rFonts w:hint="eastAsia"/>
        </w:rPr>
      </w:pPr>
    </w:p>
    <w:tbl>
      <w:tblPr>
        <w:tblStyle w:val="26"/>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3"/>
        <w:gridCol w:w="2245"/>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63" w:type="dxa"/>
            <w:vMerge w:val="restart"/>
            <w:shd w:val="clear" w:color="auto" w:fill="auto"/>
            <w:vAlign w:val="center"/>
          </w:tcPr>
          <w:p>
            <w:pPr>
              <w:widowControl/>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cs="黑体"/>
                <w:b/>
                <w:bCs/>
                <w:color w:val="000000" w:themeColor="text1"/>
                <w:kern w:val="0"/>
                <w:sz w:val="28"/>
                <w:szCs w:val="28"/>
                <w14:textFill>
                  <w14:solidFill>
                    <w14:schemeClr w14:val="tx1"/>
                  </w14:solidFill>
                </w14:textFill>
              </w:rPr>
              <w:t>评价内容</w:t>
            </w:r>
          </w:p>
        </w:tc>
        <w:tc>
          <w:tcPr>
            <w:tcW w:w="2245" w:type="dxa"/>
            <w:vMerge w:val="restart"/>
            <w:shd w:val="clear" w:color="auto" w:fill="auto"/>
            <w:vAlign w:val="center"/>
          </w:tcPr>
          <w:p>
            <w:pPr>
              <w:widowControl/>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cs="黑体"/>
                <w:b/>
                <w:bCs/>
                <w:color w:val="000000" w:themeColor="text1"/>
                <w:kern w:val="0"/>
                <w:sz w:val="28"/>
                <w:szCs w:val="28"/>
                <w14:textFill>
                  <w14:solidFill>
                    <w14:schemeClr w14:val="tx1"/>
                  </w14:solidFill>
                </w14:textFill>
              </w:rPr>
              <w:t>该项分值</w:t>
            </w:r>
          </w:p>
        </w:tc>
        <w:tc>
          <w:tcPr>
            <w:tcW w:w="2973" w:type="dxa"/>
            <w:vMerge w:val="restart"/>
            <w:shd w:val="clear" w:color="auto" w:fill="auto"/>
            <w:vAlign w:val="center"/>
          </w:tcPr>
          <w:p>
            <w:pPr>
              <w:widowControl/>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cs="黑体"/>
                <w:b/>
                <w:bCs/>
                <w:color w:val="000000" w:themeColor="text1"/>
                <w:kern w:val="0"/>
                <w:sz w:val="28"/>
                <w:szCs w:val="28"/>
                <w14:textFill>
                  <w14:solidFill>
                    <w14:schemeClr w14:val="tx1"/>
                  </w14:solidFill>
                </w14:textFill>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63" w:type="dxa"/>
            <w:vMerge w:val="continue"/>
            <w:shd w:val="clear" w:color="auto" w:fill="auto"/>
            <w:vAlign w:val="center"/>
          </w:tcPr>
          <w:p>
            <w:pPr>
              <w:widowControl/>
              <w:jc w:val="left"/>
              <w:rPr>
                <w:rFonts w:ascii="仿宋" w:hAnsi="仿宋" w:eastAsia="仿宋"/>
                <w:b/>
                <w:bCs/>
                <w:color w:val="000000" w:themeColor="text1"/>
                <w:kern w:val="0"/>
                <w:sz w:val="28"/>
                <w:szCs w:val="28"/>
                <w14:textFill>
                  <w14:solidFill>
                    <w14:schemeClr w14:val="tx1"/>
                  </w14:solidFill>
                </w14:textFill>
              </w:rPr>
            </w:pPr>
          </w:p>
        </w:tc>
        <w:tc>
          <w:tcPr>
            <w:tcW w:w="2245" w:type="dxa"/>
            <w:vMerge w:val="continue"/>
            <w:shd w:val="clear" w:color="auto" w:fill="auto"/>
            <w:vAlign w:val="center"/>
          </w:tcPr>
          <w:p>
            <w:pPr>
              <w:widowControl/>
              <w:jc w:val="left"/>
              <w:rPr>
                <w:rFonts w:ascii="仿宋" w:hAnsi="仿宋" w:eastAsia="仿宋"/>
                <w:b/>
                <w:bCs/>
                <w:color w:val="000000" w:themeColor="text1"/>
                <w:kern w:val="0"/>
                <w:sz w:val="28"/>
                <w:szCs w:val="28"/>
                <w14:textFill>
                  <w14:solidFill>
                    <w14:schemeClr w14:val="tx1"/>
                  </w14:solidFill>
                </w14:textFill>
              </w:rPr>
            </w:pPr>
          </w:p>
        </w:tc>
        <w:tc>
          <w:tcPr>
            <w:tcW w:w="2973" w:type="dxa"/>
            <w:vMerge w:val="continue"/>
            <w:shd w:val="clear" w:color="auto" w:fill="auto"/>
            <w:vAlign w:val="center"/>
          </w:tcPr>
          <w:p>
            <w:pPr>
              <w:widowControl/>
              <w:jc w:val="left"/>
              <w:rPr>
                <w:rFonts w:ascii="仿宋" w:hAnsi="仿宋" w:eastAsia="仿宋"/>
                <w:b/>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63" w:type="dxa"/>
            <w:shd w:val="clear" w:color="auto" w:fill="auto"/>
            <w:vAlign w:val="center"/>
          </w:tcPr>
          <w:p>
            <w:pPr>
              <w:widowControl/>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项目决策</w:t>
            </w:r>
          </w:p>
        </w:tc>
        <w:tc>
          <w:tcPr>
            <w:tcW w:w="2245"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15</w:t>
            </w:r>
          </w:p>
        </w:tc>
        <w:tc>
          <w:tcPr>
            <w:tcW w:w="2973" w:type="dxa"/>
            <w:shd w:val="clear" w:color="auto" w:fill="auto"/>
          </w:tcPr>
          <w:p>
            <w:pPr>
              <w:widowControl/>
              <w:jc w:val="cente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63" w:type="dxa"/>
            <w:shd w:val="clear" w:color="auto" w:fill="auto"/>
            <w:vAlign w:val="center"/>
          </w:tcPr>
          <w:p>
            <w:pPr>
              <w:widowControl/>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项目管理</w:t>
            </w:r>
          </w:p>
        </w:tc>
        <w:tc>
          <w:tcPr>
            <w:tcW w:w="2245"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25</w:t>
            </w:r>
          </w:p>
        </w:tc>
        <w:tc>
          <w:tcPr>
            <w:tcW w:w="2973" w:type="dxa"/>
            <w:shd w:val="clear" w:color="auto" w:fill="auto"/>
          </w:tcPr>
          <w:p>
            <w:pPr>
              <w:widowControl/>
              <w:jc w:val="cente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63" w:type="dxa"/>
            <w:shd w:val="clear" w:color="auto" w:fill="auto"/>
            <w:vAlign w:val="center"/>
          </w:tcPr>
          <w:p>
            <w:pPr>
              <w:widowControl/>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项目产出</w:t>
            </w:r>
          </w:p>
        </w:tc>
        <w:tc>
          <w:tcPr>
            <w:tcW w:w="2245" w:type="dxa"/>
            <w:shd w:val="clear" w:color="auto" w:fill="auto"/>
            <w:vAlign w:val="center"/>
          </w:tcPr>
          <w:p>
            <w:pPr>
              <w:widowControl/>
              <w:jc w:val="center"/>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30</w:t>
            </w:r>
          </w:p>
        </w:tc>
        <w:tc>
          <w:tcPr>
            <w:tcW w:w="2973" w:type="dxa"/>
            <w:shd w:val="clear" w:color="auto" w:fill="auto"/>
          </w:tcPr>
          <w:p>
            <w:pPr>
              <w:widowControl/>
              <w:jc w:val="cente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63" w:type="dxa"/>
            <w:shd w:val="clear" w:color="auto" w:fill="auto"/>
            <w:vAlign w:val="center"/>
          </w:tcPr>
          <w:p>
            <w:pPr>
              <w:widowControl/>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项目效益</w:t>
            </w:r>
          </w:p>
        </w:tc>
        <w:tc>
          <w:tcPr>
            <w:tcW w:w="2245"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30</w:t>
            </w:r>
          </w:p>
        </w:tc>
        <w:tc>
          <w:tcPr>
            <w:tcW w:w="2973" w:type="dxa"/>
            <w:shd w:val="clear" w:color="auto" w:fill="auto"/>
          </w:tcPr>
          <w:p>
            <w:pPr>
              <w:widowControl/>
              <w:jc w:val="cente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63" w:type="dxa"/>
            <w:shd w:val="clear" w:color="auto" w:fill="auto"/>
            <w:vAlign w:val="center"/>
          </w:tcPr>
          <w:p>
            <w:pPr>
              <w:widowControl/>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综合评价</w:t>
            </w:r>
          </w:p>
        </w:tc>
        <w:tc>
          <w:tcPr>
            <w:tcW w:w="2245"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100</w:t>
            </w:r>
          </w:p>
        </w:tc>
        <w:tc>
          <w:tcPr>
            <w:tcW w:w="2973" w:type="dxa"/>
            <w:shd w:val="clear" w:color="auto" w:fill="auto"/>
          </w:tcPr>
          <w:p>
            <w:pPr>
              <w:widowControl/>
              <w:jc w:val="cente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63" w:type="dxa"/>
            <w:shd w:val="clear" w:color="auto" w:fill="auto"/>
            <w:vAlign w:val="center"/>
          </w:tcPr>
          <w:p>
            <w:pPr>
              <w:widowControl/>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cs="黑体"/>
                <w:b/>
                <w:bCs/>
                <w:color w:val="000000" w:themeColor="text1"/>
                <w:kern w:val="0"/>
                <w:sz w:val="28"/>
                <w:szCs w:val="28"/>
                <w14:textFill>
                  <w14:solidFill>
                    <w14:schemeClr w14:val="tx1"/>
                  </w14:solidFill>
                </w14:textFill>
              </w:rPr>
              <w:t>绩效级别评定</w:t>
            </w:r>
          </w:p>
        </w:tc>
        <w:tc>
          <w:tcPr>
            <w:tcW w:w="5218" w:type="dxa"/>
            <w:gridSpan w:val="2"/>
            <w:shd w:val="clear" w:color="auto" w:fill="auto"/>
            <w:vAlign w:val="center"/>
          </w:tcPr>
          <w:p>
            <w:pPr>
              <w:jc w:val="center"/>
              <w:rPr>
                <w:rFonts w:hint="eastAsia" w:ascii="仿宋" w:hAnsi="仿宋" w:eastAsia="仿宋"/>
                <w:b/>
                <w:bCs/>
                <w:color w:val="000000" w:themeColor="text1"/>
                <w:kern w:val="0"/>
                <w:sz w:val="28"/>
                <w:szCs w:val="28"/>
                <w:lang w:eastAsia="zh-CN"/>
                <w14:textFill>
                  <w14:solidFill>
                    <w14:schemeClr w14:val="tx1"/>
                  </w14:solidFill>
                </w14:textFill>
              </w:rPr>
            </w:pPr>
            <w:r>
              <w:rPr>
                <w:rFonts w:hint="eastAsia" w:ascii="仿宋" w:hAnsi="仿宋" w:eastAsia="仿宋" w:cs="黑体"/>
                <w:b/>
                <w:bCs/>
                <w:color w:val="000000" w:themeColor="text1"/>
                <w:kern w:val="0"/>
                <w:sz w:val="28"/>
                <w:szCs w:val="28"/>
                <w:lang w:val="en-US" w:eastAsia="zh-CN"/>
                <w14:textFill>
                  <w14:solidFill>
                    <w14:schemeClr w14:val="tx1"/>
                  </w14:solidFill>
                </w14:textFill>
              </w:rPr>
              <w:t>良</w:t>
            </w:r>
          </w:p>
        </w:tc>
      </w:tr>
    </w:tbl>
    <w:p>
      <w:pPr>
        <w:pStyle w:val="8"/>
        <w:rPr>
          <w:color w:val="000000" w:themeColor="text1"/>
          <w14:textFill>
            <w14:solidFill>
              <w14:schemeClr w14:val="tx1"/>
            </w14:solidFill>
          </w14:textFill>
        </w:rPr>
      </w:pPr>
    </w:p>
    <w:p>
      <w:pPr>
        <w:pStyle w:val="8"/>
        <w:rPr>
          <w:color w:val="000000" w:themeColor="text1"/>
          <w14:textFill>
            <w14:solidFill>
              <w14:schemeClr w14:val="tx1"/>
            </w14:solidFill>
          </w14:textFill>
        </w:rPr>
      </w:pPr>
    </w:p>
    <w:p>
      <w:pPr>
        <w:pStyle w:val="3"/>
        <w:spacing w:before="0" w:after="0"/>
        <w:ind w:firstLine="640"/>
        <w:rPr>
          <w:rFonts w:ascii="黑体" w:hAnsi="黑体" w:cs="黑体"/>
          <w:b w:val="0"/>
          <w:bCs w:val="0"/>
          <w:snapToGrid w:val="0"/>
          <w:color w:val="000000" w:themeColor="text1"/>
          <w:kern w:val="0"/>
          <w:szCs w:val="32"/>
          <w14:textFill>
            <w14:solidFill>
              <w14:schemeClr w14:val="tx1"/>
            </w14:solidFill>
          </w14:textFill>
        </w:rPr>
      </w:pPr>
      <w:bookmarkStart w:id="25" w:name="_Toc103954926"/>
      <w:r>
        <w:rPr>
          <w:rFonts w:hint="eastAsia" w:ascii="黑体" w:hAnsi="黑体" w:cs="黑体"/>
          <w:b w:val="0"/>
          <w:bCs w:val="0"/>
          <w:snapToGrid w:val="0"/>
          <w:color w:val="000000" w:themeColor="text1"/>
          <w:kern w:val="0"/>
          <w:szCs w:val="32"/>
          <w14:textFill>
            <w14:solidFill>
              <w14:schemeClr w14:val="tx1"/>
            </w14:solidFill>
          </w14:textFill>
        </w:rPr>
        <w:t>四、绩效评价指标分析</w:t>
      </w:r>
      <w:bookmarkEnd w:id="25"/>
    </w:p>
    <w:p>
      <w:pPr>
        <w:pStyle w:val="4"/>
        <w:ind w:firstLine="643"/>
        <w:rPr>
          <w:rFonts w:ascii="宋体" w:hAnsi="宋体" w:eastAsia="宋体"/>
          <w:color w:val="000000" w:themeColor="text1"/>
          <w14:textFill>
            <w14:solidFill>
              <w14:schemeClr w14:val="tx1"/>
            </w14:solidFill>
          </w14:textFill>
        </w:rPr>
      </w:pPr>
      <w:bookmarkStart w:id="26" w:name="_Toc103954927"/>
      <w:bookmarkStart w:id="27" w:name="_Toc69899801"/>
      <w:r>
        <w:rPr>
          <w:color w:val="000000" w:themeColor="text1"/>
          <w14:textFill>
            <w14:solidFill>
              <w14:schemeClr w14:val="tx1"/>
            </w14:solidFill>
          </w14:textFill>
        </w:rPr>
        <w:t>（一）项目决策情况</w:t>
      </w:r>
      <w:bookmarkEnd w:id="26"/>
      <w:bookmarkEnd w:id="27"/>
    </w:p>
    <w:p>
      <w:pPr>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1.项目立项情况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项目按照统战部工作计划要求，按照财政立项流程，取得财政批复，完成项目立项。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评价分析认为，该项目决策依据充分，决策程序科学、规范，符合统战部的整体工作规划，具有实际意义。按照部门预算编制通知等相关要求，组织开展立项并申报部门预算，符合绩效管理需求。</w:t>
      </w:r>
    </w:p>
    <w:p>
      <w:pPr>
        <w:spacing w:line="360" w:lineRule="auto"/>
        <w:ind w:firstLine="643" w:firstLineChars="200"/>
        <w:rPr>
          <w:rFonts w:hint="eastAsia" w:ascii="仿宋" w:hAnsi="仿宋" w:eastAsia="仿宋"/>
          <w:b/>
          <w:color w:val="000000" w:themeColor="text1"/>
          <w:sz w:val="32"/>
          <w:szCs w:val="32"/>
          <w:lang w:eastAsia="zh-CN"/>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2</w:t>
      </w:r>
      <w:bookmarkStart w:id="28" w:name="_Hlk122793005"/>
      <w:r>
        <w:rPr>
          <w:rFonts w:hint="eastAsia" w:ascii="仿宋" w:hAnsi="仿宋" w:eastAsia="仿宋"/>
          <w:b/>
          <w:color w:val="000000" w:themeColor="text1"/>
          <w:sz w:val="32"/>
          <w:szCs w:val="32"/>
          <w:lang w:eastAsia="zh-CN"/>
          <w14:textFill>
            <w14:solidFill>
              <w14:schemeClr w14:val="tx1"/>
            </w14:solidFill>
          </w14:textFill>
        </w:rPr>
        <w:t>.</w:t>
      </w:r>
      <w:bookmarkEnd w:id="28"/>
      <w:r>
        <w:rPr>
          <w:rFonts w:hint="eastAsia" w:ascii="仿宋" w:hAnsi="仿宋" w:eastAsia="仿宋"/>
          <w:b/>
          <w:color w:val="000000" w:themeColor="text1"/>
          <w:sz w:val="32"/>
          <w:szCs w:val="32"/>
          <w:lang w:eastAsia="zh-CN"/>
          <w14:textFill>
            <w14:solidFill>
              <w14:schemeClr w14:val="tx1"/>
            </w14:solidFill>
          </w14:textFill>
        </w:rPr>
        <w:t>绩效目标情况</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）目标明确性分析</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该项目按照统战部的总体工作部署，设置了较为明确的总体目标。</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）目标合理性分析</w:t>
      </w:r>
    </w:p>
    <w:p>
      <w:pPr>
        <w:spacing w:line="360" w:lineRule="auto"/>
        <w:ind w:firstLine="640" w:firstLineChars="200"/>
        <w:rPr>
          <w:rFonts w:hint="eastAsia" w:ascii="仿宋" w:hAnsi="仿宋" w:eastAsia="仿宋_GB2312" w:cs="仿宋"/>
          <w:sz w:val="32"/>
          <w:szCs w:val="32"/>
          <w:lang w:val="en-US" w:eastAsia="zh-CN"/>
        </w:rPr>
      </w:pPr>
      <w:r>
        <w:rPr>
          <w:rFonts w:hint="eastAsia" w:ascii="仿宋" w:hAnsi="仿宋" w:eastAsia="仿宋" w:cs="仿宋"/>
          <w:sz w:val="32"/>
          <w:szCs w:val="32"/>
        </w:rPr>
        <w:t>该项目设定的目标符合统战部总体工作部署及相关会议精神，总体目标设定较为合理。但个别指标设置合理性不足，如：</w:t>
      </w:r>
      <w:r>
        <w:rPr>
          <w:rFonts w:hint="eastAsia" w:ascii="仿宋" w:hAnsi="仿宋" w:eastAsia="仿宋" w:cs="仿宋"/>
          <w:sz w:val="32"/>
          <w:szCs w:val="32"/>
          <w:lang w:val="en-US" w:eastAsia="zh-CN"/>
        </w:rPr>
        <w:t>质量指标设置为“</w:t>
      </w:r>
      <w:r>
        <w:rPr>
          <w:rFonts w:hint="eastAsia" w:ascii="仿宋_GB2312" w:hAnsi="宋体" w:eastAsia="仿宋_GB2312" w:cs="Times New Roman"/>
          <w:kern w:val="2"/>
          <w:sz w:val="32"/>
          <w:szCs w:val="32"/>
          <w:lang w:val="en-US" w:eastAsia="zh-CN" w:bidi="ar-SA"/>
        </w:rPr>
        <w:t>活动方案制定情况，物料准备情况，各单位配合度，布展完成度，活动气氛融合度100%</w:t>
      </w:r>
      <w:r>
        <w:rPr>
          <w:rFonts w:hint="eastAsia" w:ascii="仿宋" w:hAnsi="仿宋" w:eastAsia="仿宋" w:cs="仿宋"/>
          <w:sz w:val="32"/>
          <w:szCs w:val="32"/>
          <w:lang w:val="en-US" w:eastAsia="zh-CN"/>
        </w:rPr>
        <w:t>”，</w:t>
      </w:r>
      <w:r>
        <w:rPr>
          <w:rFonts w:hint="eastAsia" w:ascii="仿宋_GB2312" w:eastAsia="仿宋_GB2312"/>
          <w:sz w:val="32"/>
          <w:szCs w:val="32"/>
        </w:rPr>
        <w:t>没有体现出活动需达到的标准和效果等</w:t>
      </w:r>
      <w:r>
        <w:rPr>
          <w:rFonts w:hint="eastAsia" w:ascii="仿宋_GB2312" w:eastAsia="仿宋_GB2312"/>
          <w:sz w:val="32"/>
          <w:szCs w:val="32"/>
          <w:lang w:eastAsia="zh-CN"/>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）目标细化程度分析</w:t>
      </w:r>
    </w:p>
    <w:p>
      <w:pPr>
        <w:spacing w:line="560" w:lineRule="exact"/>
        <w:ind w:firstLine="640" w:firstLineChars="200"/>
        <w:rPr>
          <w:rFonts w:eastAsia="仿宋_GB2312"/>
          <w:bCs/>
          <w:kern w:val="44"/>
          <w:sz w:val="32"/>
          <w:szCs w:val="32"/>
        </w:rPr>
      </w:pPr>
      <w:r>
        <w:rPr>
          <w:rFonts w:hint="eastAsia" w:ascii="仿宋" w:hAnsi="仿宋" w:eastAsia="仿宋" w:cs="仿宋"/>
          <w:sz w:val="32"/>
          <w:szCs w:val="32"/>
        </w:rPr>
        <w:t>根据年度工作计划，对绩效目标进行了分解，细化了数量指标、质量指标、进度指标、成本指标、效益指标及服务对象满意度指标。同时，在一级指标、二级指标的基础上细化了三级指标。</w:t>
      </w:r>
    </w:p>
    <w:p>
      <w:pPr>
        <w:pStyle w:val="4"/>
        <w:ind w:firstLine="643"/>
        <w:rPr>
          <w:color w:val="000000" w:themeColor="text1"/>
          <w14:textFill>
            <w14:solidFill>
              <w14:schemeClr w14:val="tx1"/>
            </w14:solidFill>
          </w14:textFill>
        </w:rPr>
      </w:pPr>
      <w:bookmarkStart w:id="29" w:name="_Toc103954928"/>
      <w:r>
        <w:rPr>
          <w:rFonts w:hint="eastAsia"/>
          <w:color w:val="000000" w:themeColor="text1"/>
          <w14:textFill>
            <w14:solidFill>
              <w14:schemeClr w14:val="tx1"/>
            </w14:solidFill>
          </w14:textFill>
        </w:rPr>
        <w:t>（二）项目过程情况</w:t>
      </w:r>
      <w:bookmarkEnd w:id="29"/>
    </w:p>
    <w:bookmarkEnd w:id="17"/>
    <w:p>
      <w:pPr>
        <w:spacing w:line="360" w:lineRule="auto"/>
        <w:ind w:firstLine="643" w:firstLineChars="200"/>
        <w:rPr>
          <w:rFonts w:ascii="仿宋" w:hAnsi="仿宋" w:eastAsia="仿宋" w:cs="Times New Roman"/>
          <w:b/>
          <w:bCs/>
          <w:sz w:val="32"/>
          <w:szCs w:val="32"/>
        </w:rPr>
      </w:pPr>
      <w:bookmarkStart w:id="30" w:name="_Toc103954929"/>
      <w:r>
        <w:rPr>
          <w:rFonts w:ascii="仿宋" w:hAnsi="仿宋" w:eastAsia="仿宋" w:cs="仿宋"/>
          <w:b/>
          <w:bCs/>
          <w:sz w:val="32"/>
          <w:szCs w:val="32"/>
        </w:rPr>
        <w:t>1</w:t>
      </w:r>
      <w:r>
        <w:rPr>
          <w:rFonts w:hint="eastAsia" w:ascii="仿宋" w:hAnsi="仿宋" w:eastAsia="仿宋" w:cs="仿宋"/>
          <w:b/>
          <w:bCs/>
          <w:sz w:val="32"/>
          <w:szCs w:val="32"/>
        </w:rPr>
        <w:t>．项目资金管理</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为进一步规范项目经费的管理，保障资金安全、高效运行，提高资金使用效益，该项目在资金使用过程中，贯彻执行国家行政法规、方针政策，执行北京市财政局、统战部的各项制度。项目资金支付过程管理规范。</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分析认为，统战部项目管理制度、资金管理制度、内控流程较规范，项目严格按照上述各项制度管理，资金支付按照预算评审和财政批复内容执行，财务账务处理规范，支出凭单、发票等附件较为齐全。未发现资金挪用等违规情况。</w:t>
      </w:r>
    </w:p>
    <w:p>
      <w:pPr>
        <w:spacing w:line="360" w:lineRule="auto"/>
        <w:ind w:firstLine="643" w:firstLineChars="200"/>
        <w:rPr>
          <w:rFonts w:ascii="仿宋" w:hAnsi="仿宋" w:eastAsia="仿宋" w:cs="仿宋"/>
          <w:b/>
          <w:bCs/>
          <w:sz w:val="32"/>
          <w:szCs w:val="32"/>
        </w:rPr>
      </w:pPr>
      <w:r>
        <w:rPr>
          <w:rFonts w:ascii="仿宋" w:hAnsi="仿宋" w:eastAsia="仿宋" w:cs="仿宋"/>
          <w:b/>
          <w:bCs/>
          <w:sz w:val="32"/>
          <w:szCs w:val="32"/>
        </w:rPr>
        <w:t>2</w:t>
      </w:r>
      <w:r>
        <w:rPr>
          <w:rFonts w:hint="eastAsia" w:ascii="仿宋" w:hAnsi="仿宋" w:eastAsia="仿宋" w:cs="仿宋"/>
          <w:b/>
          <w:bCs/>
          <w:sz w:val="32"/>
          <w:szCs w:val="32"/>
        </w:rPr>
        <w:t>．项目组织实施</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该项目在项目实施过程中，按照项目实施方案和年度工作</w:t>
      </w:r>
      <w:r>
        <w:rPr>
          <w:rFonts w:hint="eastAsia" w:ascii="仿宋" w:hAnsi="仿宋" w:eastAsia="仿宋" w:cs="仿宋"/>
          <w:sz w:val="32"/>
          <w:szCs w:val="32"/>
          <w:lang w:val="en-US" w:eastAsia="zh-CN"/>
        </w:rPr>
        <w:t>计划</w:t>
      </w:r>
      <w:r>
        <w:rPr>
          <w:rFonts w:hint="eastAsia" w:ascii="仿宋" w:hAnsi="仿宋" w:eastAsia="仿宋" w:cs="仿宋"/>
          <w:sz w:val="32"/>
          <w:szCs w:val="32"/>
        </w:rPr>
        <w:t>执行。具体如下：</w:t>
      </w:r>
    </w:p>
    <w:p>
      <w:pPr>
        <w:spacing w:line="360" w:lineRule="auto"/>
        <w:ind w:firstLine="640" w:firstLineChars="200"/>
        <w:rPr>
          <w:rFonts w:hint="eastAsia" w:ascii="仿宋" w:hAnsi="仿宋" w:eastAsia="仿宋" w:cs="仿宋"/>
          <w:sz w:val="32"/>
          <w:szCs w:val="32"/>
          <w:lang w:val="en-US" w:eastAsia="zh-CN"/>
        </w:rPr>
      </w:pPr>
      <w:bookmarkStart w:id="31" w:name="_Toc23071"/>
      <w:r>
        <w:rPr>
          <w:rFonts w:hint="eastAsia" w:ascii="仿宋" w:hAnsi="仿宋" w:eastAsia="仿宋" w:cs="仿宋"/>
          <w:sz w:val="32"/>
          <w:szCs w:val="32"/>
        </w:rPr>
        <w:t>（1）项目管理组</w:t>
      </w:r>
      <w:bookmarkEnd w:id="31"/>
      <w:r>
        <w:rPr>
          <w:rFonts w:hint="eastAsia" w:ascii="仿宋" w:hAnsi="仿宋" w:eastAsia="仿宋" w:cs="仿宋"/>
          <w:sz w:val="32"/>
          <w:szCs w:val="32"/>
          <w:lang w:val="en-US" w:eastAsia="zh-CN"/>
        </w:rPr>
        <w:t>情况</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为确保高效完成项目任务，统战部成立专门的项目领导小组，该项目由新媒体工作小组负责，李飞全面负责项目管理工作，王严负责项目落实，吕萌、张希、杨捷、张琪分别负责具体项目执行工作。项目相关工作和组织实施，接受统战部领导班子检查督促。 </w:t>
      </w:r>
    </w:p>
    <w:p>
      <w:pPr>
        <w:spacing w:line="360" w:lineRule="auto"/>
        <w:ind w:firstLine="640" w:firstLineChars="200"/>
        <w:rPr>
          <w:rFonts w:hint="eastAsia" w:ascii="仿宋" w:hAnsi="仿宋" w:eastAsia="仿宋" w:cs="仿宋"/>
          <w:sz w:val="32"/>
          <w:szCs w:val="32"/>
        </w:rPr>
      </w:pPr>
      <w:bookmarkStart w:id="32" w:name="_Toc13677"/>
      <w:r>
        <w:rPr>
          <w:rFonts w:hint="eastAsia" w:ascii="仿宋" w:hAnsi="仿宋" w:eastAsia="仿宋" w:cs="仿宋"/>
          <w:sz w:val="32"/>
          <w:szCs w:val="32"/>
        </w:rPr>
        <w:t>（2）</w:t>
      </w:r>
      <w:bookmarkEnd w:id="32"/>
      <w:r>
        <w:rPr>
          <w:rFonts w:hint="eastAsia" w:ascii="仿宋" w:hAnsi="仿宋" w:eastAsia="仿宋" w:cs="仿宋"/>
          <w:sz w:val="32"/>
          <w:szCs w:val="32"/>
          <w:lang w:val="en-US" w:eastAsia="zh-CN"/>
        </w:rPr>
        <w:t>采购</w:t>
      </w:r>
      <w:r>
        <w:rPr>
          <w:rFonts w:hint="eastAsia" w:ascii="仿宋" w:hAnsi="仿宋" w:eastAsia="仿宋" w:cs="仿宋"/>
          <w:sz w:val="32"/>
          <w:szCs w:val="32"/>
        </w:rPr>
        <w:t>情况</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统战部</w:t>
      </w:r>
      <w:r>
        <w:rPr>
          <w:rFonts w:hint="eastAsia" w:ascii="仿宋" w:hAnsi="仿宋" w:eastAsia="仿宋" w:cs="仿宋"/>
          <w:sz w:val="32"/>
          <w:szCs w:val="32"/>
        </w:rPr>
        <w:t>按照规定严格执行</w:t>
      </w:r>
      <w:r>
        <w:rPr>
          <w:rFonts w:hint="eastAsia" w:ascii="仿宋" w:hAnsi="仿宋" w:eastAsia="仿宋" w:cs="仿宋"/>
          <w:sz w:val="32"/>
          <w:szCs w:val="32"/>
          <w:lang w:val="en-US" w:eastAsia="zh-CN"/>
        </w:rPr>
        <w:t>三方</w:t>
      </w:r>
      <w:r>
        <w:rPr>
          <w:rFonts w:hint="eastAsia" w:ascii="仿宋" w:hAnsi="仿宋" w:eastAsia="仿宋" w:cs="仿宋"/>
          <w:sz w:val="32"/>
          <w:szCs w:val="32"/>
        </w:rPr>
        <w:t>比选流程，通过执行相关政策文件、电话沟通、对比价格、咨询其他相关单位等方式，最终确定北京青年报网际传播技术有限公司、北京华博创科科技股份有限公司、镜鉴（北京）文化传媒有限公司、北京汇熔聚合文化传播有限公司作为本项目的服务供应商</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合同签订情况</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经部务会同意后，</w:t>
      </w:r>
      <w:r>
        <w:rPr>
          <w:rFonts w:hint="eastAsia" w:ascii="仿宋" w:hAnsi="仿宋" w:eastAsia="仿宋" w:cs="仿宋"/>
          <w:sz w:val="32"/>
          <w:szCs w:val="32"/>
          <w:lang w:val="en-US" w:eastAsia="zh-CN"/>
        </w:rPr>
        <w:t>统战部分别与4家服务供应商</w:t>
      </w:r>
      <w:r>
        <w:rPr>
          <w:rFonts w:hint="eastAsia" w:ascii="仿宋" w:hAnsi="仿宋" w:eastAsia="仿宋" w:cs="仿宋"/>
          <w:sz w:val="32"/>
          <w:szCs w:val="32"/>
        </w:rPr>
        <w:t>签署合同，合同金额</w:t>
      </w:r>
      <w:r>
        <w:rPr>
          <w:rFonts w:hint="eastAsia" w:ascii="仿宋" w:hAnsi="仿宋" w:eastAsia="仿宋" w:cs="仿宋"/>
          <w:sz w:val="32"/>
          <w:szCs w:val="32"/>
          <w:lang w:val="en-US" w:eastAsia="zh-CN"/>
        </w:rPr>
        <w:t>共计50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4）项目实施情况</w:t>
      </w:r>
    </w:p>
    <w:p>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该项目由统战部项目领导小组牵头。通过</w:t>
      </w:r>
      <w:r>
        <w:rPr>
          <w:rFonts w:hint="eastAsia" w:ascii="仿宋" w:hAnsi="仿宋" w:eastAsia="仿宋" w:cs="仿宋"/>
          <w:sz w:val="32"/>
          <w:szCs w:val="32"/>
          <w:lang w:val="en-US" w:eastAsia="zh-CN"/>
        </w:rPr>
        <w:t>三方比选</w:t>
      </w:r>
      <w:r>
        <w:rPr>
          <w:rFonts w:hint="eastAsia" w:ascii="仿宋" w:hAnsi="仿宋" w:eastAsia="仿宋" w:cs="仿宋"/>
          <w:sz w:val="32"/>
          <w:szCs w:val="32"/>
        </w:rPr>
        <w:t>确定</w:t>
      </w:r>
      <w:r>
        <w:rPr>
          <w:rFonts w:hint="eastAsia" w:ascii="仿宋" w:hAnsi="仿宋" w:eastAsia="仿宋" w:cs="仿宋"/>
          <w:sz w:val="32"/>
          <w:szCs w:val="32"/>
          <w:lang w:val="en-US" w:eastAsia="zh-CN"/>
        </w:rPr>
        <w:t>服务供应商开展工作，具体包括：</w:t>
      </w:r>
      <w:r>
        <w:rPr>
          <w:rFonts w:hint="eastAsia" w:ascii="仿宋" w:hAnsi="仿宋" w:eastAsia="仿宋" w:cs="仿宋"/>
          <w:sz w:val="32"/>
          <w:szCs w:val="32"/>
        </w:rPr>
        <w:t>新媒体运维；影像资料拍摄；《百年统战·百年法宝》3集视频</w:t>
      </w:r>
      <w:r>
        <w:rPr>
          <w:rFonts w:hint="eastAsia" w:ascii="仿宋" w:hAnsi="仿宋" w:eastAsia="仿宋" w:cs="仿宋"/>
          <w:sz w:val="32"/>
          <w:szCs w:val="32"/>
          <w:lang w:val="en-US" w:eastAsia="zh-CN"/>
        </w:rPr>
        <w:t>及</w:t>
      </w:r>
      <w:r>
        <w:rPr>
          <w:rFonts w:hint="eastAsia" w:ascii="仿宋" w:hAnsi="仿宋" w:eastAsia="仿宋" w:cs="仿宋"/>
          <w:sz w:val="32"/>
          <w:szCs w:val="32"/>
        </w:rPr>
        <w:t>“博物馆里的百年统战”读城活动</w:t>
      </w:r>
      <w:r>
        <w:rPr>
          <w:rFonts w:hint="eastAsia" w:ascii="仿宋" w:hAnsi="仿宋" w:eastAsia="仿宋" w:cs="仿宋"/>
          <w:sz w:val="32"/>
          <w:szCs w:val="32"/>
          <w:lang w:val="en-US" w:eastAsia="zh-CN"/>
        </w:rPr>
        <w:t>。</w:t>
      </w:r>
    </w:p>
    <w:p>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rPr>
        <w:t>项目验收</w:t>
      </w:r>
    </w:p>
    <w:p>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对任务完成情况进行自查，通过每周工作小结报部领导，独立性的项目向领导汇报验收情况并报部领导审批。</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评价分析认为，该项目组织机构健全，项目组织过程公开透明，各阶段组织形式合理合法。</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3．项目管理情况</w:t>
      </w:r>
    </w:p>
    <w:p>
      <w:pPr>
        <w:spacing w:line="360" w:lineRule="auto"/>
        <w:ind w:firstLine="640" w:firstLineChars="200"/>
        <w:rPr>
          <w:rFonts w:hint="eastAsia" w:ascii="仿宋" w:hAnsi="仿宋" w:eastAsia="仿宋" w:cs="仿宋"/>
          <w:sz w:val="32"/>
          <w:szCs w:val="32"/>
        </w:rPr>
      </w:pPr>
      <w:bookmarkStart w:id="33" w:name="_Toc27920"/>
      <w:r>
        <w:rPr>
          <w:rFonts w:hint="eastAsia" w:ascii="仿宋" w:hAnsi="仿宋" w:eastAsia="仿宋" w:cs="仿宋"/>
          <w:sz w:val="32"/>
          <w:szCs w:val="32"/>
        </w:rPr>
        <w:t>（1）加强进度管控</w:t>
      </w:r>
      <w:bookmarkEnd w:id="33"/>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依据年度项目计划，统战部及时跟进项目执行情况，及时发现执行过程中的进度风险，督促服务供应商按时完成任务。</w:t>
      </w:r>
    </w:p>
    <w:p>
      <w:pPr>
        <w:spacing w:line="360" w:lineRule="auto"/>
        <w:ind w:firstLine="640" w:firstLineChars="200"/>
        <w:rPr>
          <w:rFonts w:hint="eastAsia" w:ascii="仿宋" w:hAnsi="仿宋" w:eastAsia="仿宋" w:cs="仿宋"/>
          <w:sz w:val="32"/>
          <w:szCs w:val="32"/>
        </w:rPr>
      </w:pPr>
      <w:r>
        <w:rPr>
          <w:rFonts w:hint="default" w:ascii="仿宋" w:hAnsi="仿宋" w:eastAsia="仿宋" w:cs="仿宋"/>
          <w:sz w:val="32"/>
          <w:szCs w:val="32"/>
        </w:rPr>
        <w:t>①</w:t>
      </w:r>
      <w:r>
        <w:rPr>
          <w:rFonts w:hint="eastAsia" w:ascii="仿宋" w:hAnsi="仿宋" w:eastAsia="仿宋" w:cs="仿宋"/>
          <w:sz w:val="32"/>
          <w:szCs w:val="32"/>
        </w:rPr>
        <w:t>召开工作专题会议，对项目进行全面动员部署。</w:t>
      </w:r>
    </w:p>
    <w:p>
      <w:pPr>
        <w:spacing w:line="360" w:lineRule="auto"/>
        <w:ind w:firstLine="640" w:firstLineChars="200"/>
        <w:rPr>
          <w:rFonts w:hint="eastAsia" w:ascii="仿宋" w:hAnsi="仿宋" w:eastAsia="仿宋" w:cs="仿宋"/>
          <w:sz w:val="32"/>
          <w:szCs w:val="32"/>
        </w:rPr>
      </w:pPr>
      <w:r>
        <w:rPr>
          <w:rFonts w:hint="default" w:ascii="仿宋" w:hAnsi="仿宋" w:eastAsia="仿宋" w:cs="仿宋"/>
          <w:sz w:val="32"/>
          <w:szCs w:val="32"/>
        </w:rPr>
        <w:t>②</w:t>
      </w:r>
      <w:r>
        <w:rPr>
          <w:rFonts w:hint="eastAsia" w:ascii="仿宋" w:hAnsi="仿宋" w:eastAsia="仿宋" w:cs="仿宋"/>
          <w:sz w:val="32"/>
          <w:szCs w:val="32"/>
        </w:rPr>
        <w:t>拟定工作计划，对服务内容、工作职责、工作方法等方面进行讨论。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③监督项目执行。定期听取项目方汇报，掌握工作进度，确保各项指标如期完成。</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④重点把控时间节点和关键环节。将各项重要关键任务进行分解，严格按照关键节点设定完成期限，对关键环节进行重点关注</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rPr>
      </w:pPr>
      <w:bookmarkStart w:id="34" w:name="_Toc13367"/>
      <w:bookmarkStart w:id="35" w:name="_Toc27128"/>
      <w:bookmarkStart w:id="36" w:name="_Toc11705"/>
      <w:bookmarkStart w:id="37" w:name="_Toc30154"/>
      <w:bookmarkStart w:id="38" w:name="_Toc28029"/>
      <w:bookmarkStart w:id="39" w:name="_Toc22170"/>
      <w:r>
        <w:rPr>
          <w:rFonts w:hint="eastAsia" w:ascii="仿宋" w:hAnsi="仿宋" w:eastAsia="仿宋" w:cs="仿宋"/>
          <w:sz w:val="32"/>
          <w:szCs w:val="32"/>
        </w:rPr>
        <w:t>（2）项目沟通机制</w:t>
      </w:r>
      <w:bookmarkEnd w:id="34"/>
      <w:bookmarkEnd w:id="35"/>
      <w:bookmarkEnd w:id="36"/>
      <w:bookmarkEnd w:id="37"/>
      <w:bookmarkEnd w:id="38"/>
      <w:bookmarkEnd w:id="39"/>
    </w:p>
    <w:p>
      <w:pPr>
        <w:spacing w:line="360" w:lineRule="auto"/>
        <w:ind w:firstLine="640" w:firstLineChars="200"/>
        <w:rPr>
          <w:rFonts w:hint="eastAsia" w:ascii="仿宋" w:hAnsi="仿宋" w:eastAsia="仿宋" w:cs="仿宋"/>
          <w:sz w:val="32"/>
          <w:szCs w:val="32"/>
        </w:rPr>
      </w:pPr>
      <w:bookmarkStart w:id="40" w:name="_Toc40963895"/>
      <w:r>
        <w:rPr>
          <w:rFonts w:hint="eastAsia" w:ascii="仿宋" w:hAnsi="仿宋" w:eastAsia="仿宋" w:cs="仿宋"/>
          <w:sz w:val="32"/>
          <w:szCs w:val="32"/>
        </w:rPr>
        <w:t>统战部与项目方建立顺畅的沟通协调渠道，确保所有问题第一时间准确传达到负责人，对存在的风险和问题做出及时判断，并提供解决方案，主要包括建立微信工作群、信息交流、召集会议等。</w:t>
      </w:r>
      <w:bookmarkEnd w:id="40"/>
    </w:p>
    <w:p>
      <w:pPr>
        <w:spacing w:line="360" w:lineRule="auto"/>
        <w:ind w:firstLine="640" w:firstLineChars="200"/>
        <w:rPr>
          <w:rFonts w:hint="eastAsia" w:ascii="仿宋" w:hAnsi="仿宋" w:eastAsia="仿宋" w:cs="仿宋"/>
          <w:sz w:val="32"/>
          <w:szCs w:val="32"/>
          <w:lang w:eastAsia="zh-CN"/>
        </w:rPr>
      </w:pPr>
      <w:bookmarkStart w:id="41" w:name="_Toc31819"/>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项目质量管理</w:t>
      </w:r>
    </w:p>
    <w:p>
      <w:pPr>
        <w:spacing w:line="360" w:lineRule="auto"/>
        <w:ind w:firstLine="640" w:firstLineChars="200"/>
        <w:rPr>
          <w:rFonts w:hint="eastAsia" w:ascii="仿宋" w:hAnsi="仿宋" w:eastAsia="仿宋" w:cs="仿宋"/>
          <w:sz w:val="32"/>
          <w:szCs w:val="32"/>
        </w:rPr>
      </w:pPr>
      <w:r>
        <w:rPr>
          <w:rFonts w:hint="default" w:ascii="仿宋" w:hAnsi="仿宋" w:eastAsia="仿宋" w:cs="仿宋"/>
          <w:sz w:val="32"/>
          <w:szCs w:val="32"/>
        </w:rPr>
        <w:t>①</w:t>
      </w:r>
      <w:r>
        <w:rPr>
          <w:rFonts w:hint="eastAsia" w:ascii="仿宋" w:hAnsi="仿宋" w:eastAsia="仿宋" w:cs="仿宋"/>
          <w:sz w:val="32"/>
          <w:szCs w:val="32"/>
        </w:rPr>
        <w:t>日常工作管理：项目方通过现场会议、信息交流等汇报工作情况，便于及时掌握项目进度。</w:t>
      </w:r>
    </w:p>
    <w:p>
      <w:pPr>
        <w:spacing w:line="360" w:lineRule="auto"/>
        <w:ind w:firstLine="640" w:firstLineChars="200"/>
        <w:rPr>
          <w:rFonts w:hint="eastAsia" w:ascii="仿宋" w:hAnsi="仿宋" w:eastAsia="仿宋" w:cs="仿宋"/>
          <w:sz w:val="32"/>
          <w:szCs w:val="32"/>
        </w:rPr>
      </w:pPr>
      <w:r>
        <w:rPr>
          <w:rFonts w:hint="default" w:ascii="仿宋" w:hAnsi="仿宋" w:eastAsia="仿宋" w:cs="仿宋"/>
          <w:sz w:val="32"/>
          <w:szCs w:val="32"/>
        </w:rPr>
        <w:t>②</w:t>
      </w:r>
      <w:r>
        <w:rPr>
          <w:rFonts w:hint="eastAsia" w:ascii="仿宋" w:hAnsi="仿宋" w:eastAsia="仿宋" w:cs="仿宋"/>
          <w:sz w:val="32"/>
          <w:szCs w:val="32"/>
        </w:rPr>
        <w:t>开展验收工作：对于日常性工作，按照发布办法和审核机制随时进行工作验收。对独立性的项目，例如《百年统战·百年法宝》3集视频，则报请部领导对脚本、素材、成本、成品等全要素全过程进行审批；日常性的工作如新媒体运营过程中，随时与项目方沟通，提出修改意见等；影像资料拍摄工作在会议活动前提出拍摄要求，充分沟通，拍摄后查看拍摄的影像资料素材是否符合要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（4）评估、验收流程</w:t>
      </w:r>
      <w:bookmarkEnd w:id="41"/>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对任务完成情况进行自查，通过每周工作小结报部领导，独立性的项目向领导汇报验收情况并报部领导审批。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评价分析认为，该项目管理措施较为全面，但存在</w:t>
      </w:r>
      <w:r>
        <w:rPr>
          <w:rFonts w:hint="eastAsia" w:ascii="仿宋_GB2312" w:hAnsi="宋体" w:eastAsia="仿宋_GB2312" w:cs="仿宋_GB2312"/>
          <w:color w:val="000000" w:themeColor="text1"/>
          <w:sz w:val="32"/>
          <w:szCs w:val="32"/>
          <w14:textFill>
            <w14:solidFill>
              <w14:schemeClr w14:val="tx1"/>
            </w14:solidFill>
          </w14:textFill>
        </w:rPr>
        <w:t>未制定指导实施全程的项目总体方案</w:t>
      </w:r>
      <w:r>
        <w:rPr>
          <w:rFonts w:hint="eastAsia" w:ascii="仿宋" w:hAnsi="仿宋" w:eastAsia="仿宋" w:cs="仿宋"/>
          <w:sz w:val="32"/>
          <w:szCs w:val="32"/>
        </w:rPr>
        <w:t>；合同签订</w:t>
      </w:r>
      <w:r>
        <w:rPr>
          <w:rFonts w:hint="eastAsia" w:ascii="仿宋" w:hAnsi="仿宋" w:eastAsia="仿宋" w:cs="仿宋"/>
          <w:sz w:val="32"/>
          <w:szCs w:val="32"/>
          <w:lang w:val="en-US" w:eastAsia="zh-CN"/>
        </w:rPr>
        <w:t>要素不全等问题</w:t>
      </w:r>
      <w:r>
        <w:rPr>
          <w:rFonts w:hint="eastAsia" w:ascii="仿宋" w:hAnsi="仿宋" w:eastAsia="仿宋" w:cs="仿宋"/>
          <w:sz w:val="32"/>
          <w:szCs w:val="32"/>
        </w:rPr>
        <w:t>。</w:t>
      </w:r>
    </w:p>
    <w:p>
      <w:pPr>
        <w:pStyle w:val="4"/>
        <w:ind w:firstLine="643"/>
        <w:rPr>
          <w:color w:val="000000" w:themeColor="text1"/>
          <w14:textFill>
            <w14:solidFill>
              <w14:schemeClr w14:val="tx1"/>
            </w14:solidFill>
          </w14:textFill>
        </w:rPr>
      </w:pPr>
      <w:r>
        <w:rPr>
          <w:rFonts w:hint="eastAsia"/>
          <w:color w:val="000000" w:themeColor="text1"/>
          <w14:textFill>
            <w14:solidFill>
              <w14:schemeClr w14:val="tx1"/>
            </w14:solidFill>
          </w14:textFill>
        </w:rPr>
        <w:t>（三）项目产出情况</w:t>
      </w:r>
      <w:bookmarkEnd w:id="30"/>
    </w:p>
    <w:p>
      <w:pPr>
        <w:spacing w:line="360" w:lineRule="auto"/>
        <w:ind w:firstLine="643" w:firstLineChars="200"/>
        <w:rPr>
          <w:rFonts w:ascii="仿宋_GB2312" w:hAnsi="宋体" w:eastAsia="仿宋_GB2312" w:cs="仿宋_GB2312"/>
          <w:b/>
          <w:bCs/>
          <w:color w:val="000000" w:themeColor="text1"/>
          <w:sz w:val="32"/>
          <w:szCs w:val="32"/>
          <w14:textFill>
            <w14:solidFill>
              <w14:schemeClr w14:val="tx1"/>
            </w14:solidFill>
          </w14:textFill>
        </w:rPr>
      </w:pPr>
      <w:bookmarkStart w:id="42" w:name="_Toc103954930"/>
      <w:r>
        <w:rPr>
          <w:rFonts w:hint="eastAsia" w:ascii="仿宋" w:hAnsi="仿宋" w:eastAsia="仿宋"/>
          <w:b/>
          <w:bCs/>
          <w:color w:val="000000" w:themeColor="text1"/>
          <w:sz w:val="32"/>
          <w:szCs w:val="32"/>
          <w14:textFill>
            <w14:solidFill>
              <w14:schemeClr w14:val="tx1"/>
            </w14:solidFill>
          </w14:textFill>
        </w:rPr>
        <w:t>1．</w:t>
      </w:r>
      <w:r>
        <w:rPr>
          <w:rFonts w:hint="eastAsia" w:ascii="仿宋" w:hAnsi="仿宋" w:eastAsia="仿宋" w:cs="仿宋"/>
          <w:b/>
          <w:bCs/>
          <w:sz w:val="32"/>
          <w:szCs w:val="32"/>
        </w:rPr>
        <w:t>项目预期目标完成情况</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新媒体运维全年情况：微信公众号全年总发布750余篇，累计阅读量32万次</w:t>
      </w:r>
      <w:r>
        <w:rPr>
          <w:rFonts w:hint="eastAsia" w:ascii="仿宋" w:hAnsi="仿宋" w:eastAsia="仿宋" w:cs="仿宋"/>
          <w:sz w:val="32"/>
          <w:szCs w:val="32"/>
          <w:lang w:eastAsia="zh-CN"/>
        </w:rPr>
        <w:t>；</w:t>
      </w:r>
      <w:r>
        <w:rPr>
          <w:rFonts w:hint="eastAsia" w:ascii="仿宋" w:hAnsi="仿宋" w:eastAsia="仿宋" w:cs="仿宋"/>
          <w:sz w:val="32"/>
          <w:szCs w:val="32"/>
        </w:rPr>
        <w:t>抖音全年发布视频200余个，总阅读量合计约550万</w:t>
      </w:r>
      <w:r>
        <w:rPr>
          <w:rFonts w:hint="eastAsia" w:ascii="仿宋" w:hAnsi="仿宋" w:eastAsia="仿宋" w:cs="仿宋"/>
          <w:sz w:val="32"/>
          <w:szCs w:val="32"/>
          <w:lang w:eastAsia="zh-CN"/>
        </w:rPr>
        <w:t>；</w:t>
      </w:r>
      <w:r>
        <w:rPr>
          <w:rFonts w:hint="eastAsia" w:ascii="仿宋" w:hAnsi="仿宋" w:eastAsia="仿宋" w:cs="仿宋"/>
          <w:sz w:val="32"/>
          <w:szCs w:val="32"/>
        </w:rPr>
        <w:t>微博：全年发布4400余条，总阅读量约2000万次。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影像资料拍摄全年情况：完成拍摄50余场次，拍摄人员到场准时，携带设备齐全。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制作《百年统战·百年法宝》3集视频情况：按照计划共制作3集视频。第一集：克敌制胜的法宝，时长3分32秒；第二集：2022年中央统战工作会议精神；3分22秒；第三集：学习贯彻党的二十大精神，谱写新时代首都统战新篇章，时长5分2秒。</w:t>
      </w:r>
    </w:p>
    <w:p>
      <w:pPr>
        <w:spacing w:line="360" w:lineRule="auto"/>
        <w:ind w:firstLine="640" w:firstLineChars="200"/>
        <w:rPr>
          <w:rFonts w:hint="default" w:ascii="仿宋" w:hAnsi="仿宋" w:eastAsia="仿宋" w:cs="仿宋"/>
          <w:sz w:val="32"/>
          <w:szCs w:val="32"/>
          <w:highlight w:val="yellow"/>
          <w:lang w:val="en-US" w:eastAsia="zh-CN"/>
        </w:rPr>
      </w:pPr>
      <w:r>
        <w:rPr>
          <w:rFonts w:hint="eastAsia" w:ascii="仿宋" w:hAnsi="仿宋" w:eastAsia="仿宋" w:cs="仿宋"/>
          <w:sz w:val="32"/>
          <w:szCs w:val="32"/>
        </w:rPr>
        <w:t>“博物馆里的百年统战”读城活动情况：在微博开展宣传，并开通话题作为活动的线上启动，微博开设</w:t>
      </w:r>
      <w:r>
        <w:rPr>
          <w:rFonts w:hint="eastAsia" w:ascii="仿宋" w:hAnsi="仿宋" w:eastAsia="仿宋" w:cs="仿宋"/>
          <w:sz w:val="32"/>
          <w:szCs w:val="32"/>
          <w:lang w:eastAsia="zh-CN"/>
        </w:rPr>
        <w:t>“</w:t>
      </w:r>
      <w:r>
        <w:rPr>
          <w:rFonts w:hint="eastAsia" w:ascii="仿宋" w:hAnsi="仿宋" w:eastAsia="仿宋" w:cs="仿宋"/>
          <w:sz w:val="32"/>
          <w:szCs w:val="32"/>
        </w:rPr>
        <w:t>博物馆里的百年统战</w:t>
      </w:r>
      <w:r>
        <w:rPr>
          <w:rFonts w:hint="eastAsia" w:ascii="仿宋" w:hAnsi="仿宋" w:eastAsia="仿宋" w:cs="仿宋"/>
          <w:sz w:val="32"/>
          <w:szCs w:val="32"/>
          <w:lang w:eastAsia="zh-CN"/>
        </w:rPr>
        <w:t>”</w:t>
      </w:r>
      <w:r>
        <w:rPr>
          <w:rFonts w:hint="eastAsia" w:ascii="仿宋" w:hAnsi="仿宋" w:eastAsia="仿宋" w:cs="仿宋"/>
          <w:sz w:val="32"/>
          <w:szCs w:val="32"/>
        </w:rPr>
        <w:t>话题1个，讨论次数468次，阅读量161.1万，原创人数47人；《中国新闻报》对活动进行报道1次</w:t>
      </w:r>
      <w:r>
        <w:rPr>
          <w:rFonts w:hint="eastAsia" w:ascii="仿宋" w:hAnsi="仿宋" w:eastAsia="仿宋" w:cs="仿宋"/>
          <w:sz w:val="32"/>
          <w:szCs w:val="32"/>
          <w:lang w:eastAsia="zh-CN"/>
        </w:rPr>
        <w:t>；</w:t>
      </w:r>
      <w:r>
        <w:rPr>
          <w:rFonts w:hint="eastAsia" w:ascii="仿宋" w:hAnsi="仿宋" w:eastAsia="仿宋" w:cs="仿宋"/>
          <w:sz w:val="32"/>
          <w:szCs w:val="32"/>
        </w:rPr>
        <w:t>线上启动环节及宣传预热工作已完成。</w:t>
      </w:r>
    </w:p>
    <w:p>
      <w:pPr>
        <w:ind w:firstLine="640"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cs="仿宋"/>
          <w:sz w:val="32"/>
          <w:szCs w:val="32"/>
        </w:rPr>
        <w:t>评价分析认为，通过该项目的实施，</w:t>
      </w:r>
      <w:r>
        <w:rPr>
          <w:rFonts w:hint="eastAsia" w:ascii="仿宋" w:hAnsi="仿宋" w:eastAsia="仿宋" w:cs="仿宋"/>
          <w:sz w:val="32"/>
          <w:szCs w:val="32"/>
          <w:lang w:val="en-US" w:eastAsia="zh-CN"/>
        </w:rPr>
        <w:t>基本</w:t>
      </w:r>
      <w:r>
        <w:rPr>
          <w:rFonts w:hint="eastAsia" w:ascii="仿宋" w:hAnsi="仿宋" w:eastAsia="仿宋" w:cs="仿宋"/>
          <w:sz w:val="32"/>
          <w:szCs w:val="32"/>
        </w:rPr>
        <w:t>完成了预期既定的目标。</w:t>
      </w:r>
    </w:p>
    <w:p>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2.产出质量指标完成情况</w:t>
      </w:r>
    </w:p>
    <w:p>
      <w:pPr>
        <w:spacing w:line="360" w:lineRule="auto"/>
        <w:ind w:firstLine="640" w:firstLineChars="200"/>
        <w:rPr>
          <w:rFonts w:hint="eastAsia" w:ascii="仿宋" w:hAnsi="仿宋" w:eastAsia="仿宋" w:cs="仿宋"/>
          <w:sz w:val="32"/>
          <w:szCs w:val="32"/>
          <w:lang w:val="en-US" w:eastAsia="zh-CN"/>
        </w:rPr>
      </w:pPr>
      <w:bookmarkStart w:id="43" w:name="_Toc117462648"/>
      <w:r>
        <w:rPr>
          <w:rFonts w:hint="eastAsia" w:ascii="仿宋" w:hAnsi="仿宋" w:eastAsia="仿宋" w:cs="仿宋"/>
          <w:sz w:val="32"/>
          <w:szCs w:val="32"/>
        </w:rPr>
        <w:t>新媒体运维过程中排版美观，内容无误，及时制作，按时发布，完成全部质量指标任务。影像资料拍摄任务所拍摄影像资料清晰，反映活动会议环节完整，完成全部质量指标任务。《百年统战·百年法宝》3集视频制作时长达标，内容准确，画面清晰完整，配音字幕等符合要求，特效技术运用较多，完成全部质量指标任务。“博物馆里的百年统战”读城活动线上启动环节和宣传预热工作已完成</w:t>
      </w:r>
      <w:r>
        <w:rPr>
          <w:rFonts w:hint="eastAsia" w:ascii="仿宋" w:hAnsi="仿宋" w:eastAsia="仿宋" w:cs="仿宋"/>
          <w:sz w:val="32"/>
          <w:szCs w:val="32"/>
          <w:lang w:val="en-US" w:eastAsia="zh-CN"/>
        </w:rPr>
        <w:t>。</w:t>
      </w:r>
      <w:bookmarkEnd w:id="43"/>
    </w:p>
    <w:p>
      <w:pPr>
        <w:ind w:firstLine="640" w:firstLineChars="200"/>
        <w:rPr>
          <w:rFonts w:ascii="仿宋" w:hAnsi="仿宋" w:eastAsia="仿宋" w:cs="Times New Roman"/>
          <w:sz w:val="32"/>
          <w:szCs w:val="32"/>
        </w:rPr>
      </w:pPr>
      <w:r>
        <w:rPr>
          <w:rFonts w:hint="eastAsia" w:ascii="仿宋" w:hAnsi="仿宋" w:eastAsia="仿宋" w:cs="仿宋"/>
          <w:sz w:val="32"/>
          <w:szCs w:val="32"/>
        </w:rPr>
        <w:t>评价分析认为，通过该项目的实施，工作完成质量符合预期要求，完成情况较好。</w:t>
      </w:r>
    </w:p>
    <w:p>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3</w:t>
      </w:r>
      <w:r>
        <w:rPr>
          <w:rFonts w:hint="eastAsia" w:ascii="仿宋" w:hAnsi="仿宋" w:eastAsia="仿宋"/>
          <w:b/>
          <w:bCs/>
          <w:color w:val="000000" w:themeColor="text1"/>
          <w:sz w:val="32"/>
          <w:szCs w:val="32"/>
          <w14:textFill>
            <w14:solidFill>
              <w14:schemeClr w14:val="tx1"/>
            </w14:solidFill>
          </w14:textFill>
        </w:rPr>
        <w:t>.产出时效指标完成情况</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由于疫情，</w:t>
      </w:r>
      <w:r>
        <w:rPr>
          <w:rFonts w:hint="eastAsia" w:ascii="仿宋" w:hAnsi="仿宋" w:eastAsia="仿宋" w:cs="仿宋"/>
          <w:sz w:val="32"/>
          <w:szCs w:val="32"/>
        </w:rPr>
        <w:t>“博物馆里的百年统战”读城活动</w:t>
      </w:r>
      <w:r>
        <w:rPr>
          <w:rFonts w:hint="eastAsia" w:ascii="仿宋" w:hAnsi="仿宋" w:eastAsia="仿宋" w:cs="仿宋"/>
          <w:sz w:val="32"/>
          <w:szCs w:val="32"/>
          <w:lang w:val="en-US" w:eastAsia="zh-CN"/>
        </w:rPr>
        <w:t>2场线下活动计划在2023年组织实施</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，其他项目内容均基本按照计划安排如期完成或推进，产出进度指标</w:t>
      </w:r>
      <w:r>
        <w:rPr>
          <w:rFonts w:hint="eastAsia" w:ascii="仿宋" w:hAnsi="仿宋" w:eastAsia="仿宋"/>
          <w:color w:val="000000" w:themeColor="text1"/>
          <w:sz w:val="32"/>
          <w:szCs w:val="32"/>
          <w14:textFill>
            <w14:solidFill>
              <w14:schemeClr w14:val="tx1"/>
            </w14:solidFill>
          </w14:textFill>
        </w:rPr>
        <w:t>较好。</w:t>
      </w:r>
    </w:p>
    <w:p>
      <w:pPr>
        <w:spacing w:line="360" w:lineRule="auto"/>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4.产出成本指标完成情况</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_GB2312" w:eastAsia="仿宋_GB2312"/>
          <w:bCs/>
          <w:kern w:val="44"/>
          <w:sz w:val="32"/>
          <w:szCs w:val="32"/>
        </w:rPr>
        <w:t>该</w:t>
      </w:r>
      <w:r>
        <w:rPr>
          <w:rFonts w:hint="eastAsia" w:ascii="仿宋_GB2312" w:hAnsi="仿宋_GB2312" w:eastAsia="仿宋_GB2312" w:cs="仿宋_GB2312"/>
          <w:bCs/>
          <w:kern w:val="44"/>
          <w:sz w:val="32"/>
          <w:szCs w:val="32"/>
        </w:rPr>
        <w:t>项目预算总额为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w:t>
      </w:r>
      <w:r>
        <w:rPr>
          <w:rFonts w:hint="eastAsia" w:ascii="仿宋_GB2312" w:hAnsi="仿宋_GB2312" w:eastAsia="仿宋_GB2312" w:cs="仿宋_GB2312"/>
          <w:bCs/>
          <w:kern w:val="44"/>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截止202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年12月31日，实际支出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bCs/>
          <w:kern w:val="44"/>
          <w:sz w:val="32"/>
          <w:szCs w:val="32"/>
        </w:rPr>
        <w:t>预算</w:t>
      </w:r>
      <w:r>
        <w:rPr>
          <w:rFonts w:hint="eastAsia" w:ascii="仿宋_GB2312" w:hAnsi="宋体" w:eastAsia="仿宋_GB2312" w:cs="仿宋_GB2312"/>
          <w:sz w:val="32"/>
          <w:szCs w:val="32"/>
        </w:rPr>
        <w:t>执行率</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活动开展过程中进行一定范围的价格比对，成本控制较好</w:t>
      </w:r>
      <w:r>
        <w:rPr>
          <w:rFonts w:hint="eastAsia" w:ascii="仿宋" w:hAnsi="仿宋" w:eastAsia="仿宋" w:cs="仿宋_GB2312"/>
          <w:color w:val="000000" w:themeColor="text1"/>
          <w:sz w:val="32"/>
          <w:szCs w:val="32"/>
          <w:lang w:eastAsia="zh-CN"/>
          <w14:textFill>
            <w14:solidFill>
              <w14:schemeClr w14:val="tx1"/>
            </w14:solidFill>
          </w14:textFill>
        </w:rPr>
        <w:t>。</w:t>
      </w:r>
    </w:p>
    <w:p>
      <w:pPr>
        <w:spacing w:line="360" w:lineRule="auto"/>
        <w:ind w:firstLine="640" w:firstLineChars="200"/>
        <w:rPr>
          <w:rFonts w:hint="eastAsia" w:ascii="仿宋" w:hAnsi="仿宋" w:eastAsia="仿宋" w:cs="Times New Roman"/>
          <w:sz w:val="32"/>
          <w:szCs w:val="32"/>
          <w:lang w:eastAsia="zh-CN"/>
        </w:rPr>
      </w:pPr>
      <w:r>
        <w:rPr>
          <w:rFonts w:hint="eastAsia" w:ascii="仿宋" w:hAnsi="仿宋" w:eastAsia="仿宋" w:cs="仿宋"/>
          <w:sz w:val="32"/>
          <w:szCs w:val="32"/>
        </w:rPr>
        <w:t>评价分析认为，该项目执行过程中，资金严格按照预算执行，采取了经济控制措施，经济性较合理</w:t>
      </w:r>
      <w:r>
        <w:rPr>
          <w:rFonts w:hint="eastAsia" w:ascii="仿宋" w:hAnsi="仿宋" w:eastAsia="仿宋" w:cs="仿宋"/>
          <w:sz w:val="32"/>
          <w:szCs w:val="32"/>
          <w:lang w:eastAsia="zh-CN"/>
        </w:rPr>
        <w:t>。</w:t>
      </w:r>
    </w:p>
    <w:p>
      <w:pPr>
        <w:pStyle w:val="4"/>
        <w:ind w:firstLine="643"/>
        <w:rPr>
          <w:color w:val="000000" w:themeColor="text1"/>
          <w14:textFill>
            <w14:solidFill>
              <w14:schemeClr w14:val="tx1"/>
            </w14:solidFill>
          </w14:textFill>
        </w:rPr>
      </w:pPr>
      <w:r>
        <w:rPr>
          <w:rFonts w:hint="eastAsia"/>
          <w:color w:val="000000" w:themeColor="text1"/>
          <w14:textFill>
            <w14:solidFill>
              <w14:schemeClr w14:val="tx1"/>
            </w14:solidFill>
          </w14:textFill>
        </w:rPr>
        <w:t>（四）项目效益情况</w:t>
      </w:r>
      <w:bookmarkEnd w:id="42"/>
    </w:p>
    <w:p>
      <w:pPr>
        <w:pStyle w:val="21"/>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Cs/>
          <w:kern w:val="44"/>
          <w:sz w:val="32"/>
          <w:szCs w:val="32"/>
        </w:rPr>
        <w:t>一是宣传主题教育活动。结合2022年主题教育活动，在新媒体平台陆续推出了“奋进新时代”“助企纾困”“同心抗疫”等系列宣传。各平台发布涉及主题教育活动的文章、视频共计350余篇，有效延伸活动宣传覆盖面、影响力。二是宣传党的二十大精神。在会前，转发相关的预热稿件以及10年来的综述性稿件，在会议期间发布各类权威媒体的报道稿件，以及会后发布评论员文章、畅谈热议、权威解读等各类稿件，并形成专题和系列，积极营造宣传氛围，发挥新媒体平台的宣传引领作用，在各新媒体平台共发布相关文章、视频等360余篇。三是宣传中央统战工作会议精神。在抖音平台发布中央统战工作会议学习摘要、首都同一战线召开学习宣传贯彻会议精神动员部署会等视频。在微信公众号设立合集，发布相关稿件40余篇。制作《百年统战•百年法宝》3集视频，全面的讲解中央统战工作会议精神、党的统战史和首都统一战线近年来为助力高质量发展所做的贡献。四是联合新浪微博组织党外人士开展</w:t>
      </w:r>
      <w:r>
        <w:rPr>
          <w:rFonts w:hint="eastAsia" w:ascii="仿宋_GB2312" w:eastAsia="仿宋_GB2312" w:cs="Times New Roman"/>
          <w:bCs/>
          <w:kern w:val="44"/>
          <w:sz w:val="32"/>
          <w:szCs w:val="32"/>
          <w:lang w:eastAsia="zh-CN"/>
        </w:rPr>
        <w:t>“</w:t>
      </w:r>
      <w:r>
        <w:rPr>
          <w:rFonts w:hint="eastAsia" w:ascii="仿宋_GB2312" w:hAnsi="Times New Roman" w:eastAsia="仿宋_GB2312" w:cs="Times New Roman"/>
          <w:bCs/>
          <w:kern w:val="44"/>
          <w:sz w:val="32"/>
          <w:szCs w:val="32"/>
        </w:rPr>
        <w:t>博物馆里的百年统战</w:t>
      </w:r>
      <w:r>
        <w:rPr>
          <w:rFonts w:hint="eastAsia" w:ascii="仿宋_GB2312" w:eastAsia="仿宋_GB2312" w:cs="Times New Roman"/>
          <w:bCs/>
          <w:kern w:val="44"/>
          <w:sz w:val="32"/>
          <w:szCs w:val="32"/>
          <w:lang w:eastAsia="zh-CN"/>
        </w:rPr>
        <w:t>”</w:t>
      </w:r>
      <w:r>
        <w:rPr>
          <w:rFonts w:hint="eastAsia" w:ascii="仿宋_GB2312" w:hAnsi="Times New Roman" w:eastAsia="仿宋_GB2312" w:cs="Times New Roman"/>
          <w:bCs/>
          <w:kern w:val="44"/>
          <w:sz w:val="32"/>
          <w:szCs w:val="32"/>
        </w:rPr>
        <w:t>读城活动，引导党外代表人士重温统战历史，学习党的创新理论，扩大党外人士线上影响力，打造统战文化品牌。</w:t>
      </w:r>
    </w:p>
    <w:p>
      <w:pPr>
        <w:spacing w:line="360" w:lineRule="auto"/>
        <w:ind w:firstLine="640" w:firstLineChars="200"/>
        <w:rPr>
          <w:rFonts w:hint="eastAsia" w:ascii="仿宋" w:hAnsi="仿宋" w:eastAsia="仿宋_GB2312"/>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评价分析认为，该项目按照预期计划，完成了年度绩效目标，产出效益较好</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社会效益显著</w:t>
      </w:r>
      <w:r>
        <w:rPr>
          <w:rFonts w:hint="eastAsia" w:ascii="仿宋" w:hAnsi="仿宋" w:eastAsia="仿宋"/>
          <w:color w:val="000000" w:themeColor="text1"/>
          <w:sz w:val="32"/>
          <w:szCs w:val="32"/>
          <w14:textFill>
            <w14:solidFill>
              <w14:schemeClr w14:val="tx1"/>
            </w14:solidFill>
          </w14:textFill>
        </w:rPr>
        <w:t>。</w:t>
      </w:r>
      <w:r>
        <w:rPr>
          <w:rFonts w:hint="eastAsia" w:ascii="仿宋_GB2312" w:eastAsia="仿宋_GB2312"/>
          <w:bCs/>
          <w:kern w:val="44"/>
          <w:sz w:val="32"/>
          <w:szCs w:val="32"/>
        </w:rPr>
        <w:t>但</w:t>
      </w:r>
      <w:r>
        <w:rPr>
          <w:rFonts w:hint="eastAsia" w:eastAsia="仿宋_GB2312"/>
          <w:bCs/>
          <w:kern w:val="44"/>
          <w:sz w:val="32"/>
          <w:szCs w:val="32"/>
        </w:rPr>
        <w:t>效果支撑资料不足，</w:t>
      </w:r>
      <w:r>
        <w:rPr>
          <w:rFonts w:hint="eastAsia" w:eastAsia="仿宋_GB2312"/>
          <w:bCs/>
          <w:kern w:val="44"/>
          <w:sz w:val="32"/>
          <w:szCs w:val="32"/>
          <w:lang w:val="en-US" w:eastAsia="zh-CN"/>
        </w:rPr>
        <w:t>未开展</w:t>
      </w:r>
      <w:r>
        <w:rPr>
          <w:rFonts w:hint="eastAsia" w:eastAsia="仿宋_GB2312"/>
          <w:bCs/>
          <w:kern w:val="44"/>
          <w:sz w:val="32"/>
          <w:szCs w:val="32"/>
        </w:rPr>
        <w:t>满意度</w:t>
      </w:r>
      <w:r>
        <w:rPr>
          <w:rFonts w:hint="eastAsia" w:ascii="仿宋" w:hAnsi="仿宋" w:eastAsia="仿宋" w:cs="Times New Roman"/>
          <w:color w:val="000000" w:themeColor="text1"/>
          <w:sz w:val="32"/>
          <w:szCs w:val="32"/>
          <w:lang w:val="en-US" w:eastAsia="zh-CN"/>
          <w14:textFill>
            <w14:solidFill>
              <w14:schemeClr w14:val="tx1"/>
            </w14:solidFill>
          </w14:textFill>
        </w:rPr>
        <w:t>调查工作</w:t>
      </w:r>
      <w:r>
        <w:rPr>
          <w:rFonts w:hint="eastAsia" w:eastAsia="仿宋_GB2312"/>
          <w:bCs/>
          <w:kern w:val="44"/>
          <w:sz w:val="32"/>
          <w:szCs w:val="32"/>
          <w:lang w:eastAsia="zh-CN"/>
        </w:rPr>
        <w:t>。</w:t>
      </w:r>
    </w:p>
    <w:p>
      <w:pPr>
        <w:pStyle w:val="3"/>
        <w:ind w:firstLine="640"/>
        <w:rPr>
          <w:color w:val="000000" w:themeColor="text1"/>
          <w14:textFill>
            <w14:solidFill>
              <w14:schemeClr w14:val="tx1"/>
            </w14:solidFill>
          </w14:textFill>
        </w:rPr>
      </w:pPr>
      <w:bookmarkStart w:id="44" w:name="_Toc103954931"/>
      <w:bookmarkStart w:id="45" w:name="_Hlk103335875"/>
      <w:bookmarkStart w:id="46" w:name="_Toc325442848"/>
      <w:r>
        <w:rPr>
          <w:rFonts w:hint="eastAsia" w:ascii="黑体" w:hAnsi="黑体" w:cs="黑体"/>
          <w:b w:val="0"/>
          <w:bCs w:val="0"/>
          <w:color w:val="000000" w:themeColor="text1"/>
          <w:szCs w:val="32"/>
          <w14:textFill>
            <w14:solidFill>
              <w14:schemeClr w14:val="tx1"/>
            </w14:solidFill>
          </w14:textFill>
        </w:rPr>
        <w:t>五、</w:t>
      </w:r>
      <w:r>
        <w:rPr>
          <w:rFonts w:hint="eastAsia"/>
          <w:color w:val="000000" w:themeColor="text1"/>
          <w14:textFill>
            <w14:solidFill>
              <w14:schemeClr w14:val="tx1"/>
            </w14:solidFill>
          </w14:textFill>
        </w:rPr>
        <w:t>主要经验及做法、存在的问题分析</w:t>
      </w:r>
      <w:bookmarkEnd w:id="44"/>
    </w:p>
    <w:p>
      <w:pPr>
        <w:pStyle w:val="4"/>
        <w:ind w:firstLine="643"/>
        <w:rPr>
          <w:color w:val="000000" w:themeColor="text1"/>
          <w14:textFill>
            <w14:solidFill>
              <w14:schemeClr w14:val="tx1"/>
            </w14:solidFill>
          </w14:textFill>
        </w:rPr>
      </w:pPr>
      <w:bookmarkStart w:id="47" w:name="_Toc103954932"/>
      <w:bookmarkStart w:id="48" w:name="_Toc97493898"/>
      <w:r>
        <w:rPr>
          <w:rFonts w:hint="eastAsia"/>
          <w:color w:val="000000" w:themeColor="text1"/>
          <w14:textFill>
            <w14:solidFill>
              <w14:schemeClr w14:val="tx1"/>
            </w14:solidFill>
          </w14:textFill>
        </w:rPr>
        <w:t>（一）主要经验及做法</w:t>
      </w:r>
      <w:bookmarkEnd w:id="47"/>
      <w:bookmarkEnd w:id="48"/>
    </w:p>
    <w:p>
      <w:pPr>
        <w:pStyle w:val="21"/>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Times New Roman" w:eastAsia="仿宋_GB2312" w:cs="Times New Roman"/>
          <w:bCs/>
          <w:kern w:val="44"/>
          <w:sz w:val="32"/>
          <w:szCs w:val="32"/>
        </w:rPr>
      </w:pPr>
      <w:r>
        <w:rPr>
          <w:rFonts w:hint="eastAsia" w:ascii="仿宋_GB2312" w:hAnsi="Times New Roman" w:eastAsia="仿宋_GB2312" w:cs="Times New Roman"/>
          <w:bCs/>
          <w:kern w:val="44"/>
          <w:sz w:val="32"/>
          <w:szCs w:val="32"/>
        </w:rPr>
        <w:t>统战部新媒体工作项目是利用好各类新媒体平台及手段方法，开展统战宣传工作，加强党外人士思想政治引领的重要方式。</w:t>
      </w:r>
    </w:p>
    <w:p>
      <w:pPr>
        <w:pStyle w:val="21"/>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Times New Roman" w:eastAsia="仿宋_GB2312" w:cs="Times New Roman"/>
          <w:bCs/>
          <w:kern w:val="44"/>
          <w:sz w:val="32"/>
          <w:szCs w:val="32"/>
        </w:rPr>
      </w:pPr>
      <w:r>
        <w:rPr>
          <w:rFonts w:hint="eastAsia" w:ascii="仿宋_GB2312" w:hAnsi="Times New Roman" w:eastAsia="仿宋_GB2312" w:cs="Times New Roman"/>
          <w:bCs/>
          <w:kern w:val="44"/>
          <w:sz w:val="32"/>
          <w:szCs w:val="32"/>
        </w:rPr>
        <w:t>一是部领导高度重视。从项目的提出，到调研筹备、预算编制、方案设计、工作进度等各个环节，部领导都定期听取汇报，及时作出指示。</w:t>
      </w:r>
    </w:p>
    <w:p>
      <w:pPr>
        <w:pStyle w:val="21"/>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Times New Roman" w:eastAsia="仿宋_GB2312" w:cs="Times New Roman"/>
          <w:bCs/>
          <w:kern w:val="44"/>
          <w:sz w:val="32"/>
          <w:szCs w:val="32"/>
        </w:rPr>
      </w:pPr>
      <w:r>
        <w:rPr>
          <w:rFonts w:hint="eastAsia" w:ascii="仿宋_GB2312" w:hAnsi="Times New Roman" w:eastAsia="仿宋_GB2312" w:cs="Times New Roman"/>
          <w:bCs/>
          <w:kern w:val="44"/>
          <w:sz w:val="32"/>
          <w:szCs w:val="32"/>
        </w:rPr>
        <w:t>二是严格执行财务管理规定。项目主管处室与部财务部门密切协调配合，共同完成了预算申报、合同签订、预算审核、款项支付等环节，严格执行市财政局相关要求，并做好资料留存备查。</w:t>
      </w:r>
    </w:p>
    <w:p>
      <w:pPr>
        <w:pStyle w:val="21"/>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Times New Roman" w:eastAsia="仿宋_GB2312" w:cs="Times New Roman"/>
          <w:bCs/>
          <w:kern w:val="44"/>
          <w:sz w:val="32"/>
          <w:szCs w:val="32"/>
        </w:rPr>
      </w:pPr>
      <w:r>
        <w:rPr>
          <w:rFonts w:hint="eastAsia" w:ascii="仿宋_GB2312" w:hAnsi="Times New Roman" w:eastAsia="仿宋_GB2312" w:cs="Times New Roman"/>
          <w:bCs/>
          <w:kern w:val="44"/>
          <w:sz w:val="32"/>
          <w:szCs w:val="32"/>
        </w:rPr>
        <w:t>三是除日常运维常态化管理外，每年新媒体在预算项目支出中，将根据形势要求和工作重点完成不同工作内容，但均在预算范围内支出，没有超预算情况。</w:t>
      </w:r>
    </w:p>
    <w:p>
      <w:pPr>
        <w:pStyle w:val="4"/>
        <w:numPr>
          <w:ilvl w:val="0"/>
          <w:numId w:val="1"/>
        </w:numPr>
        <w:ind w:firstLine="643"/>
        <w:rPr>
          <w:color w:val="000000" w:themeColor="text1"/>
          <w14:textFill>
            <w14:solidFill>
              <w14:schemeClr w14:val="tx1"/>
            </w14:solidFill>
          </w14:textFill>
        </w:rPr>
      </w:pPr>
      <w:bookmarkStart w:id="49" w:name="_Toc103954933"/>
      <w:bookmarkStart w:id="50" w:name="_Hlk103335409"/>
      <w:r>
        <w:rPr>
          <w:rFonts w:hint="eastAsia"/>
          <w:color w:val="000000" w:themeColor="text1"/>
          <w14:textFill>
            <w14:solidFill>
              <w14:schemeClr w14:val="tx1"/>
            </w14:solidFill>
          </w14:textFill>
        </w:rPr>
        <w:t>存在的问题分析</w:t>
      </w:r>
      <w:bookmarkEnd w:id="49"/>
    </w:p>
    <w:p>
      <w:pPr>
        <w:spacing w:line="360" w:lineRule="auto"/>
        <w:ind w:firstLine="640" w:firstLineChars="200"/>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1．</w:t>
      </w:r>
      <w:r>
        <w:rPr>
          <w:rFonts w:hint="eastAsia" w:ascii="仿宋" w:hAnsi="仿宋" w:eastAsia="仿宋" w:cs="宋体"/>
          <w:sz w:val="32"/>
          <w:szCs w:val="32"/>
        </w:rPr>
        <w:t>项目绩效目标表填报</w:t>
      </w:r>
      <w:r>
        <w:rPr>
          <w:rFonts w:hint="eastAsia" w:ascii="仿宋" w:hAnsi="仿宋" w:eastAsia="仿宋" w:cs="宋体"/>
          <w:sz w:val="32"/>
          <w:szCs w:val="32"/>
          <w:lang w:val="en-US" w:eastAsia="zh-CN"/>
        </w:rPr>
        <w:t>不够</w:t>
      </w:r>
      <w:r>
        <w:rPr>
          <w:rFonts w:hint="eastAsia" w:ascii="仿宋" w:hAnsi="仿宋" w:eastAsia="仿宋" w:cs="宋体"/>
          <w:sz w:val="32"/>
          <w:szCs w:val="32"/>
        </w:rPr>
        <w:t>规范，个别指标</w:t>
      </w:r>
      <w:r>
        <w:rPr>
          <w:rFonts w:hint="eastAsia" w:ascii="仿宋" w:hAnsi="仿宋" w:eastAsia="仿宋" w:cs="宋体"/>
          <w:sz w:val="32"/>
          <w:szCs w:val="32"/>
          <w:lang w:val="en-US" w:eastAsia="zh-CN"/>
        </w:rPr>
        <w:t>设置合理性不足</w:t>
      </w:r>
      <w:r>
        <w:rPr>
          <w:rFonts w:hint="eastAsia" w:ascii="仿宋" w:hAnsi="仿宋" w:eastAsia="仿宋" w:cs="Times New Roman"/>
          <w:color w:val="000000" w:themeColor="text1"/>
          <w:sz w:val="32"/>
          <w:szCs w:val="32"/>
          <w:lang w:val="en-US" w:eastAsia="zh-CN"/>
          <w14:textFill>
            <w14:solidFill>
              <w14:schemeClr w14:val="tx1"/>
            </w14:solidFill>
          </w14:textFill>
        </w:rPr>
        <w:t>。</w:t>
      </w:r>
    </w:p>
    <w:p>
      <w:pPr>
        <w:spacing w:line="360" w:lineRule="auto"/>
        <w:ind w:firstLine="640" w:firstLineChars="200"/>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宋体"/>
          <w:sz w:val="32"/>
          <w:szCs w:val="32"/>
          <w:lang w:val="en-US" w:eastAsia="zh-CN"/>
        </w:rPr>
        <w:t>运维统战部新媒体平台工作内容中，合同约定“技术支持”、“线上活动”等内容，但没有在数量指标中体现，</w:t>
      </w:r>
      <w:r>
        <w:rPr>
          <w:rFonts w:hint="eastAsia" w:ascii="仿宋" w:hAnsi="仿宋" w:eastAsia="仿宋" w:cs="宋体"/>
          <w:sz w:val="32"/>
          <w:szCs w:val="32"/>
        </w:rPr>
        <w:t>指标依据设置不充分，不全面</w:t>
      </w:r>
      <w:r>
        <w:rPr>
          <w:rFonts w:hint="eastAsia" w:ascii="仿宋" w:hAnsi="仿宋" w:eastAsia="仿宋" w:cs="宋体"/>
          <w:sz w:val="32"/>
          <w:szCs w:val="32"/>
          <w:lang w:val="en-US" w:eastAsia="zh-CN"/>
        </w:rPr>
        <w:t>；质量指标设置为“活动方案制定情况，物</w:t>
      </w:r>
      <w:r>
        <w:rPr>
          <w:rFonts w:hint="eastAsia" w:ascii="仿宋_GB2312" w:hAnsi="宋体" w:eastAsia="仿宋_GB2312" w:cs="Times New Roman"/>
          <w:kern w:val="2"/>
          <w:sz w:val="32"/>
          <w:szCs w:val="32"/>
          <w:lang w:val="en-US" w:eastAsia="zh-CN" w:bidi="ar-SA"/>
        </w:rPr>
        <w:t>料准备情况，各单位配合度，布展完成度，活动气氛融合度100%</w:t>
      </w:r>
      <w:r>
        <w:rPr>
          <w:rFonts w:hint="eastAsia" w:ascii="仿宋" w:hAnsi="仿宋" w:eastAsia="仿宋" w:cs="仿宋"/>
          <w:sz w:val="32"/>
          <w:szCs w:val="32"/>
          <w:lang w:val="en-US" w:eastAsia="zh-CN"/>
        </w:rPr>
        <w:t>”，</w:t>
      </w:r>
      <w:r>
        <w:rPr>
          <w:rFonts w:hint="eastAsia" w:ascii="仿宋_GB2312" w:eastAsia="仿宋_GB2312"/>
          <w:sz w:val="32"/>
          <w:szCs w:val="32"/>
        </w:rPr>
        <w:t>没有体现出活动需达到的标准和效果等</w:t>
      </w:r>
      <w:r>
        <w:rPr>
          <w:rFonts w:hint="eastAsia" w:ascii="仿宋" w:hAnsi="仿宋" w:eastAsia="仿宋" w:cs="Times New Roman"/>
          <w:color w:val="000000" w:themeColor="text1"/>
          <w:sz w:val="32"/>
          <w:szCs w:val="32"/>
          <w:lang w:val="en-US" w:eastAsia="zh-CN"/>
          <w14:textFill>
            <w14:solidFill>
              <w14:schemeClr w14:val="tx1"/>
            </w14:solidFill>
          </w14:textFill>
        </w:rPr>
        <w:t>。</w:t>
      </w:r>
    </w:p>
    <w:p>
      <w:pPr>
        <w:spacing w:line="360" w:lineRule="auto"/>
        <w:ind w:firstLine="640" w:firstLineChars="200"/>
        <w:rPr>
          <w:rFonts w:hint="eastAsia" w:ascii="仿宋_GB2312" w:hAnsi="Times New Roman" w:eastAsia="仿宋_GB2312" w:cs="Times New Roman"/>
          <w:sz w:val="32"/>
          <w:szCs w:val="32"/>
          <w:lang w:eastAsia="zh-CN"/>
        </w:rPr>
      </w:pPr>
      <w:r>
        <w:rPr>
          <w:rFonts w:hint="eastAsia" w:ascii="仿宋" w:hAnsi="仿宋" w:eastAsia="仿宋" w:cs="Times New Roman"/>
          <w:color w:val="000000" w:themeColor="text1"/>
          <w:sz w:val="32"/>
          <w:szCs w:val="32"/>
          <w:lang w:val="en-US" w:eastAsia="zh-CN"/>
          <w14:textFill>
            <w14:solidFill>
              <w14:schemeClr w14:val="tx1"/>
            </w14:solidFill>
          </w14:textFill>
        </w:rPr>
        <w:t>2．</w:t>
      </w:r>
      <w:r>
        <w:rPr>
          <w:rFonts w:hint="eastAsia" w:ascii="仿宋_GB2312" w:eastAsia="仿宋_GB2312"/>
          <w:sz w:val="32"/>
        </w:rPr>
        <w:t>预算编制规范性有待</w:t>
      </w:r>
      <w:r>
        <w:rPr>
          <w:rFonts w:hint="eastAsia" w:ascii="仿宋_GB2312" w:hAnsi="Times New Roman" w:eastAsia="仿宋_GB2312" w:cs="Times New Roman"/>
          <w:sz w:val="32"/>
          <w:szCs w:val="32"/>
        </w:rPr>
        <w:t>加强</w:t>
      </w:r>
      <w:r>
        <w:rPr>
          <w:rFonts w:hint="eastAsia" w:ascii="仿宋_GB2312" w:eastAsia="仿宋_GB2312" w:cs="Times New Roman"/>
          <w:sz w:val="32"/>
          <w:szCs w:val="32"/>
          <w:lang w:eastAsia="zh-CN"/>
        </w:rPr>
        <w:t>。</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Times New Roman" w:eastAsia="仿宋_GB2312" w:cs="Times New Roman"/>
          <w:sz w:val="32"/>
          <w:szCs w:val="32"/>
        </w:rPr>
        <w:t>该项目预算编制按照4个子项目进行预算分配，并未针对各个子项目按照经费支出内容预</w:t>
      </w:r>
      <w:r>
        <w:rPr>
          <w:rFonts w:hint="eastAsia" w:ascii="仿宋_GB2312" w:eastAsia="仿宋_GB2312"/>
          <w:bCs/>
          <w:kern w:val="44"/>
          <w:sz w:val="32"/>
          <w:szCs w:val="32"/>
        </w:rPr>
        <w:t>算进行细化，项目预算申报资料过于简单，缺少项目预算测算依据，预算编制细化程度有待进一步加强</w:t>
      </w:r>
      <w:r>
        <w:rPr>
          <w:rFonts w:hint="eastAsia" w:ascii="仿宋_GB2312" w:hAnsi="仿宋_GB2312" w:eastAsia="仿宋_GB2312" w:cs="仿宋_GB2312"/>
          <w:bCs/>
          <w:kern w:val="44"/>
          <w:sz w:val="32"/>
          <w:szCs w:val="32"/>
        </w:rPr>
        <w:t>。</w:t>
      </w:r>
    </w:p>
    <w:p>
      <w:pPr>
        <w:pStyle w:val="54"/>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ascii="仿宋_GB2312" w:eastAsia="仿宋_GB2312"/>
          <w:sz w:val="32"/>
        </w:rPr>
        <w:t>3</w:t>
      </w:r>
      <w:r>
        <w:rPr>
          <w:rFonts w:hint="eastAsia" w:ascii="仿宋_GB2312" w:eastAsia="仿宋_GB2312"/>
          <w:sz w:val="32"/>
        </w:rPr>
        <w:t>.</w:t>
      </w:r>
      <w:r>
        <w:rPr>
          <w:rFonts w:hint="eastAsia" w:ascii="仿宋" w:hAnsi="仿宋" w:eastAsia="仿宋" w:cs="Times New Roman"/>
          <w:color w:val="000000" w:themeColor="text1"/>
          <w:sz w:val="32"/>
          <w:szCs w:val="32"/>
          <w:lang w:val="en-US" w:eastAsia="zh-CN"/>
          <w14:textFill>
            <w14:solidFill>
              <w14:schemeClr w14:val="tx1"/>
            </w14:solidFill>
          </w14:textFill>
        </w:rPr>
        <w:t>项目过程管理需进一步加强。</w:t>
      </w:r>
    </w:p>
    <w:p>
      <w:pPr>
        <w:spacing w:line="360" w:lineRule="auto"/>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项目实施方案不完善，未制定指导实施全程的项目总体方案</w:t>
      </w:r>
      <w:r>
        <w:rPr>
          <w:rFonts w:hint="eastAsia" w:ascii="仿宋" w:hAnsi="仿宋" w:eastAsia="仿宋" w:cs="Times New Roman"/>
          <w:color w:val="000000" w:themeColor="text1"/>
          <w:sz w:val="32"/>
          <w:szCs w:val="32"/>
          <w:lang w:val="en-US" w:eastAsia="zh-CN"/>
          <w14:textFill>
            <w14:solidFill>
              <w14:schemeClr w14:val="tx1"/>
            </w14:solidFill>
          </w14:textFill>
        </w:rPr>
        <w:t>，对实际工作指导性不足；</w:t>
      </w:r>
    </w:p>
    <w:p>
      <w:pPr>
        <w:spacing w:line="360" w:lineRule="auto"/>
        <w:ind w:firstLine="640" w:firstLineChars="200"/>
        <w:rPr>
          <w:rFonts w:hint="eastAsia" w:ascii="仿宋_GB2312" w:hAnsi="宋体"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项</w:t>
      </w:r>
      <w:r>
        <w:rPr>
          <w:rFonts w:hint="eastAsia" w:ascii="仿宋_GB2312" w:hAnsi="宋体" w:eastAsia="仿宋_GB2312" w:cs="仿宋_GB2312"/>
          <w:color w:val="000000" w:themeColor="text1"/>
          <w:sz w:val="32"/>
          <w:szCs w:val="32"/>
          <w:lang w:val="en-US" w:eastAsia="zh-CN"/>
          <w14:textFill>
            <w14:solidFill>
              <w14:schemeClr w14:val="tx1"/>
            </w14:solidFill>
          </w14:textFill>
        </w:rPr>
        <w:t>目在执行过程中，运维统战部新媒体平台工作、会议活动影像资料的拍摄工作两项内容均存在合同签订时间晚于执行期情况。</w:t>
      </w:r>
    </w:p>
    <w:p>
      <w:pPr>
        <w:spacing w:line="360" w:lineRule="auto"/>
        <w:ind w:firstLine="640" w:firstLineChars="200"/>
        <w:rPr>
          <w:rFonts w:hint="default" w:ascii="仿宋_GB2312" w:hAnsi="宋体" w:eastAsia="仿宋_GB2312" w:cs="仿宋_GB2312"/>
          <w:color w:val="000000" w:themeColor="text1"/>
          <w:sz w:val="32"/>
          <w:szCs w:val="32"/>
          <w:lang w:val="en-US" w:eastAsia="zh-CN"/>
          <w14:textFill>
            <w14:solidFill>
              <w14:schemeClr w14:val="tx1"/>
            </w14:solidFill>
          </w14:textFill>
        </w:rPr>
      </w:pPr>
      <w:r>
        <w:rPr>
          <w:rFonts w:hint="eastAsia" w:ascii="仿宋_GB2312" w:hAnsi="宋体" w:eastAsia="仿宋_GB2312" w:cs="仿宋_GB2312"/>
          <w:sz w:val="32"/>
          <w:szCs w:val="32"/>
        </w:rPr>
        <w:t>合同签订不够严谨</w:t>
      </w:r>
      <w:r>
        <w:rPr>
          <w:rFonts w:hint="eastAsia" w:ascii="仿宋_GB2312" w:hAnsi="宋体" w:eastAsia="仿宋_GB2312" w:cs="仿宋_GB2312"/>
          <w:color w:val="000000" w:themeColor="text1"/>
          <w:sz w:val="32"/>
          <w:szCs w:val="32"/>
          <w:lang w:val="en-US" w:eastAsia="zh-CN"/>
          <w14:textFill>
            <w14:solidFill>
              <w14:schemeClr w14:val="tx1"/>
            </w14:solidFill>
          </w14:textFill>
        </w:rPr>
        <w:t>，规范性不足，存在风险。如：会议活动影像资料的拍摄工作合同中，乙方签订日期未填写。</w:t>
      </w:r>
    </w:p>
    <w:p>
      <w:pPr>
        <w:spacing w:line="360" w:lineRule="auto"/>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4．项目绩效成果体现不足，需进一步合理归集项目资料。</w:t>
      </w:r>
    </w:p>
    <w:p>
      <w:pPr>
        <w:spacing w:line="360" w:lineRule="auto"/>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本项目产生了比较明显的社会效益，但对相关效果达成的情况资料收集归纳不完整，未开展满意度调查工作。</w:t>
      </w:r>
    </w:p>
    <w:bookmarkEnd w:id="45"/>
    <w:bookmarkEnd w:id="50"/>
    <w:p>
      <w:pPr>
        <w:pStyle w:val="3"/>
        <w:numPr>
          <w:ilvl w:val="0"/>
          <w:numId w:val="2"/>
        </w:numPr>
        <w:ind w:firstLineChars="0"/>
        <w:rPr>
          <w:color w:val="000000" w:themeColor="text1"/>
          <w:szCs w:val="32"/>
          <w14:textFill>
            <w14:solidFill>
              <w14:schemeClr w14:val="tx1"/>
            </w14:solidFill>
          </w14:textFill>
        </w:rPr>
      </w:pPr>
      <w:bookmarkStart w:id="51" w:name="_Toc103954934"/>
      <w:r>
        <w:rPr>
          <w:rFonts w:hint="eastAsia" w:ascii="黑体" w:hAnsi="黑体" w:cs="黑体"/>
          <w:b w:val="0"/>
          <w:bCs w:val="0"/>
          <w:color w:val="000000" w:themeColor="text1"/>
          <w:szCs w:val="32"/>
          <w14:textFill>
            <w14:solidFill>
              <w14:schemeClr w14:val="tx1"/>
            </w14:solidFill>
          </w14:textFill>
        </w:rPr>
        <w:t>有关建议</w:t>
      </w:r>
      <w:bookmarkEnd w:id="51"/>
    </w:p>
    <w:bookmarkEnd w:id="46"/>
    <w:p>
      <w:pPr>
        <w:spacing w:line="360" w:lineRule="auto"/>
        <w:ind w:firstLine="640" w:firstLineChars="200"/>
        <w:rPr>
          <w:rFonts w:hint="eastAsia" w:ascii="仿宋_GB2312" w:hAnsi="宋体" w:eastAsia="仿宋_GB2312" w:cs="仿宋_GB2312"/>
          <w:color w:val="000000" w:themeColor="text1"/>
          <w:sz w:val="32"/>
          <w:szCs w:val="32"/>
          <w:lang w:val="en-US" w:eastAsia="zh-CN"/>
          <w14:textFill>
            <w14:solidFill>
              <w14:schemeClr w14:val="tx1"/>
            </w14:solidFill>
          </w14:textFill>
        </w:rPr>
      </w:pPr>
      <w:bookmarkStart w:id="52" w:name="_Toc103954935"/>
      <w:bookmarkStart w:id="53" w:name="_Hlk103336788"/>
      <w:bookmarkStart w:id="54" w:name="_Toc171772135"/>
      <w:bookmarkStart w:id="55" w:name="_Toc325442851"/>
      <w:bookmarkStart w:id="56" w:name="_Toc175710853"/>
      <w:r>
        <w:rPr>
          <w:rFonts w:hint="eastAsia" w:ascii="仿宋_GB2312" w:hAnsi="宋体" w:eastAsia="仿宋_GB2312" w:cs="仿宋_GB2312"/>
          <w:color w:val="000000" w:themeColor="text1"/>
          <w:sz w:val="32"/>
          <w:szCs w:val="32"/>
          <w:lang w:val="en-US" w:eastAsia="zh-CN"/>
          <w14:textFill>
            <w14:solidFill>
              <w14:schemeClr w14:val="tx1"/>
            </w14:solidFill>
          </w14:textFill>
        </w:rPr>
        <w:t>（一）科学合理制定项目绩效目标。</w:t>
      </w:r>
    </w:p>
    <w:p>
      <w:pPr>
        <w:spacing w:line="360" w:lineRule="auto"/>
        <w:ind w:firstLine="640" w:firstLineChars="200"/>
        <w:rPr>
          <w:rFonts w:hint="eastAsia" w:ascii="仿宋_GB2312" w:hAnsi="宋体" w:eastAsia="仿宋_GB2312" w:cs="仿宋_GB2312"/>
          <w:color w:val="000000" w:themeColor="text1"/>
          <w:sz w:val="32"/>
          <w:szCs w:val="32"/>
          <w:lang w:val="en-US" w:eastAsia="zh-CN"/>
          <w14:textFill>
            <w14:solidFill>
              <w14:schemeClr w14:val="tx1"/>
            </w14:solidFill>
          </w14:textFill>
        </w:rPr>
      </w:pPr>
      <w:r>
        <w:rPr>
          <w:rFonts w:hint="eastAsia" w:ascii="仿宋_GB2312" w:hAnsi="宋体" w:eastAsia="仿宋_GB2312" w:cs="仿宋_GB2312"/>
          <w:sz w:val="32"/>
          <w:szCs w:val="32"/>
        </w:rPr>
        <w:t>科学设定项目的绩效目标，绩效目标要与单位职能相关；细化量化项目的绩效指标、使绩效指标具有可衡量性，提升对项目执行的指导意义</w:t>
      </w:r>
      <w:r>
        <w:rPr>
          <w:rFonts w:hint="eastAsia" w:ascii="仿宋_GB2312" w:hAnsi="宋体" w:eastAsia="仿宋_GB2312" w:cs="仿宋_GB2312"/>
          <w:color w:val="000000" w:themeColor="text1"/>
          <w:sz w:val="32"/>
          <w:szCs w:val="32"/>
          <w:lang w:val="en-US" w:eastAsia="zh-CN"/>
          <w14:textFill>
            <w14:solidFill>
              <w14:schemeClr w14:val="tx1"/>
            </w14:solidFill>
          </w14:textFill>
        </w:rPr>
        <w:t>。</w:t>
      </w:r>
    </w:p>
    <w:p>
      <w:pPr>
        <w:spacing w:line="360" w:lineRule="auto"/>
        <w:ind w:firstLine="640" w:firstLineChars="200"/>
        <w:rPr>
          <w:rFonts w:hint="eastAsia" w:ascii="仿宋_GB2312" w:hAnsi="宋体" w:eastAsia="仿宋_GB2312" w:cs="仿宋_GB2312"/>
          <w:color w:val="000000" w:themeColor="text1"/>
          <w:sz w:val="32"/>
          <w:szCs w:val="32"/>
          <w:lang w:val="en-US" w:eastAsia="zh-CN"/>
          <w14:textFill>
            <w14:solidFill>
              <w14:schemeClr w14:val="tx1"/>
            </w14:solidFill>
          </w14:textFill>
        </w:rPr>
      </w:pPr>
      <w:r>
        <w:rPr>
          <w:rFonts w:hint="eastAsia" w:ascii="仿宋_GB2312" w:hAnsi="宋体" w:eastAsia="仿宋_GB2312" w:cs="仿宋_GB2312"/>
          <w:color w:val="000000" w:themeColor="text1"/>
          <w:sz w:val="32"/>
          <w:szCs w:val="32"/>
          <w:lang w:val="en-US" w:eastAsia="zh-CN"/>
          <w14:textFill>
            <w14:solidFill>
              <w14:schemeClr w14:val="tx1"/>
            </w14:solidFill>
          </w14:textFill>
        </w:rPr>
        <w:t>（二）完善预算编制。</w:t>
      </w:r>
    </w:p>
    <w:p>
      <w:pPr>
        <w:spacing w:line="360" w:lineRule="auto"/>
        <w:ind w:firstLine="640" w:firstLineChars="200"/>
        <w:rPr>
          <w:rFonts w:hint="eastAsia" w:ascii="仿宋_GB2312" w:hAnsi="宋体" w:eastAsia="仿宋_GB2312" w:cs="仿宋_GB2312"/>
          <w:color w:val="000000" w:themeColor="text1"/>
          <w:sz w:val="32"/>
          <w:szCs w:val="32"/>
          <w:lang w:val="en-US" w:eastAsia="zh-CN"/>
          <w14:textFill>
            <w14:solidFill>
              <w14:schemeClr w14:val="tx1"/>
            </w14:solidFill>
          </w14:textFill>
        </w:rPr>
      </w:pPr>
      <w:r>
        <w:rPr>
          <w:rFonts w:hint="eastAsia" w:ascii="仿宋_GB2312" w:hAnsi="宋体" w:eastAsia="仿宋_GB2312" w:cs="仿宋_GB2312"/>
          <w:color w:val="000000" w:themeColor="text1"/>
          <w:sz w:val="32"/>
          <w:szCs w:val="32"/>
          <w:lang w:val="en-US" w:eastAsia="zh-CN"/>
          <w14:textFill>
            <w14:solidFill>
              <w14:schemeClr w14:val="tx1"/>
            </w14:solidFill>
          </w14:textFill>
        </w:rPr>
        <w:t>建议进一步细化项目预算，明确预算构成，结合项目内容及支出方向，对项目预算进行细化测算，提高预算编制的精细化程度，根据需求合理编制预算。</w:t>
      </w:r>
    </w:p>
    <w:p>
      <w:pPr>
        <w:spacing w:line="360" w:lineRule="auto"/>
        <w:ind w:firstLine="640" w:firstLineChars="200"/>
        <w:rPr>
          <w:rFonts w:hint="eastAsia" w:ascii="仿宋_GB2312" w:hAnsi="宋体" w:eastAsia="仿宋_GB2312" w:cs="仿宋_GB2312"/>
          <w:color w:val="000000" w:themeColor="text1"/>
          <w:sz w:val="32"/>
          <w:szCs w:val="32"/>
          <w:lang w:val="en-US" w:eastAsia="zh-CN"/>
          <w14:textFill>
            <w14:solidFill>
              <w14:schemeClr w14:val="tx1"/>
            </w14:solidFill>
          </w14:textFill>
        </w:rPr>
      </w:pPr>
      <w:r>
        <w:rPr>
          <w:rFonts w:hint="eastAsia" w:ascii="仿宋_GB2312" w:hAnsi="宋体" w:eastAsia="仿宋_GB2312" w:cs="仿宋_GB2312"/>
          <w:color w:val="000000" w:themeColor="text1"/>
          <w:sz w:val="32"/>
          <w:szCs w:val="32"/>
          <w:lang w:val="en-US" w:eastAsia="zh-CN"/>
          <w14:textFill>
            <w14:solidFill>
              <w14:schemeClr w14:val="tx1"/>
            </w14:solidFill>
          </w14:textFill>
        </w:rPr>
        <w:t>（三）强化项目管理。</w:t>
      </w:r>
    </w:p>
    <w:p>
      <w:pPr>
        <w:spacing w:line="360" w:lineRule="auto"/>
        <w:ind w:firstLine="640" w:firstLineChars="200"/>
        <w:rPr>
          <w:rFonts w:hint="eastAsia" w:ascii="仿宋_GB2312" w:hAnsi="宋体" w:eastAsia="仿宋_GB2312" w:cs="仿宋_GB2312"/>
          <w:color w:val="000000" w:themeColor="text1"/>
          <w:sz w:val="32"/>
          <w:szCs w:val="32"/>
          <w:lang w:val="en-US" w:eastAsia="zh-CN"/>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结合年度目标落实年度工作任务，制定内容全面、可操作性强的年度实施总体方案，在总体实施方案的基础上，科学、合理制定各子项目实施方案，为子项目实施提供指导依据</w:t>
      </w:r>
      <w:r>
        <w:rPr>
          <w:rFonts w:hint="eastAsia" w:ascii="仿宋_GB2312" w:hAnsi="宋体" w:eastAsia="仿宋_GB2312" w:cs="宋体"/>
          <w:kern w:val="0"/>
          <w:sz w:val="32"/>
          <w:szCs w:val="32"/>
        </w:rPr>
        <w:t>。</w:t>
      </w:r>
      <w:r>
        <w:rPr>
          <w:rFonts w:hint="eastAsia" w:ascii="仿宋_GB2312" w:hAnsi="宋体" w:eastAsia="仿宋_GB2312" w:cs="仿宋_GB2312"/>
          <w:sz w:val="32"/>
          <w:szCs w:val="32"/>
        </w:rPr>
        <w:t>建立更有效的项目管理制度，督促项目实施进度，持续跟踪绩效目标实现情况，保障项目执行过程更加顺畅、严谨</w:t>
      </w:r>
      <w:r>
        <w:rPr>
          <w:rFonts w:hint="eastAsia" w:ascii="仿宋_GB2312" w:hAnsi="宋体" w:eastAsia="仿宋_GB2312" w:cs="仿宋_GB2312"/>
          <w:sz w:val="32"/>
          <w:szCs w:val="32"/>
          <w:lang w:eastAsia="zh-CN"/>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规范合同签订，</w:t>
      </w:r>
      <w:r>
        <w:rPr>
          <w:rFonts w:hint="eastAsia" w:ascii="仿宋_GB2312" w:hAnsi="宋体" w:eastAsia="仿宋_GB2312" w:cs="仿宋_GB2312"/>
          <w:sz w:val="32"/>
          <w:szCs w:val="32"/>
        </w:rPr>
        <w:t>相关要素应齐全，合同条款应详尽，保证财政资金的安全有效</w:t>
      </w:r>
      <w:r>
        <w:rPr>
          <w:rFonts w:hint="eastAsia" w:ascii="仿宋_GB2312" w:hAnsi="宋体" w:eastAsia="仿宋_GB2312" w:cs="仿宋_GB2312"/>
          <w:color w:val="000000" w:themeColor="text1"/>
          <w:sz w:val="32"/>
          <w:szCs w:val="32"/>
          <w:lang w:val="en-US" w:eastAsia="zh-CN"/>
          <w14:textFill>
            <w14:solidFill>
              <w14:schemeClr w14:val="tx1"/>
            </w14:solidFill>
          </w14:textFill>
        </w:rPr>
        <w:t>。</w:t>
      </w:r>
    </w:p>
    <w:p>
      <w:pPr>
        <w:ind w:firstLine="640" w:firstLineChars="200"/>
        <w:rPr>
          <w:rFonts w:hint="eastAsia" w:ascii="仿宋" w:hAnsi="仿宋" w:eastAsia="仿宋" w:cs="仿宋"/>
          <w:sz w:val="32"/>
          <w:szCs w:val="32"/>
          <w:lang w:eastAsia="zh-CN"/>
        </w:rPr>
      </w:pPr>
      <w:r>
        <w:rPr>
          <w:rFonts w:hint="eastAsia" w:ascii="仿宋_GB2312" w:hAnsi="宋体" w:eastAsia="仿宋_GB2312" w:cs="仿宋_GB2312"/>
          <w:color w:val="000000" w:themeColor="text1"/>
          <w:sz w:val="32"/>
          <w:szCs w:val="32"/>
          <w:lang w:val="en-US" w:eastAsia="zh-CN"/>
          <w14:textFill>
            <w14:solidFill>
              <w14:schemeClr w14:val="tx1"/>
            </w14:solidFill>
          </w14:textFill>
        </w:rPr>
        <w:t>（四）</w:t>
      </w:r>
      <w:r>
        <w:rPr>
          <w:rFonts w:hint="eastAsia" w:ascii="仿宋" w:hAnsi="仿宋" w:eastAsia="仿宋" w:cs="宋体"/>
          <w:sz w:val="32"/>
          <w:szCs w:val="32"/>
        </w:rPr>
        <w:t>加强项目验收总结，有效开展满意度</w:t>
      </w:r>
      <w:r>
        <w:rPr>
          <w:rFonts w:hint="eastAsia" w:ascii="仿宋" w:hAnsi="仿宋" w:eastAsia="仿宋" w:cs="宋体"/>
          <w:sz w:val="32"/>
          <w:szCs w:val="32"/>
          <w:lang w:val="en-US" w:eastAsia="zh-CN"/>
        </w:rPr>
        <w:t>调查</w:t>
      </w:r>
      <w:r>
        <w:rPr>
          <w:rFonts w:hint="eastAsia" w:ascii="仿宋" w:hAnsi="仿宋" w:eastAsia="仿宋" w:cs="宋体"/>
          <w:sz w:val="32"/>
          <w:szCs w:val="32"/>
          <w:lang w:eastAsia="zh-CN"/>
        </w:rPr>
        <w:t>。</w:t>
      </w:r>
    </w:p>
    <w:p>
      <w:pPr>
        <w:spacing w:line="360" w:lineRule="auto"/>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落实长效机制，积极推进项目社会效益的发挥，注重成果的可持续作用。有效开展满意度调查，调查应涵盖各类受益群体，调查内容全面，并注意调查资料留存。</w:t>
      </w:r>
    </w:p>
    <w:p>
      <w:pPr>
        <w:pStyle w:val="3"/>
        <w:numPr>
          <w:ilvl w:val="0"/>
          <w:numId w:val="2"/>
        </w:numPr>
        <w:ind w:firstLineChars="0"/>
        <w:rPr>
          <w:rFonts w:ascii="黑体" w:hAnsi="黑体" w:cs="黑体"/>
          <w:color w:val="000000" w:themeColor="text1"/>
          <w:szCs w:val="32"/>
          <w14:textFill>
            <w14:solidFill>
              <w14:schemeClr w14:val="tx1"/>
            </w14:solidFill>
          </w14:textFill>
        </w:rPr>
      </w:pPr>
      <w:r>
        <w:rPr>
          <w:rFonts w:hint="eastAsia" w:ascii="黑体" w:hAnsi="黑体" w:cs="黑体"/>
          <w:color w:val="000000" w:themeColor="text1"/>
          <w:szCs w:val="32"/>
          <w14:textFill>
            <w14:solidFill>
              <w14:schemeClr w14:val="tx1"/>
            </w14:solidFill>
          </w14:textFill>
        </w:rPr>
        <w:t>其他需要说明的问题</w:t>
      </w:r>
      <w:bookmarkEnd w:id="52"/>
    </w:p>
    <w:bookmarkEnd w:id="53"/>
    <w:p>
      <w:pPr>
        <w:adjustRightInd w:val="0"/>
        <w:snapToGrid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无</w:t>
      </w:r>
    </w:p>
    <w:p>
      <w:pPr>
        <w:pStyle w:val="3"/>
        <w:ind w:firstLine="643"/>
        <w:rPr>
          <w:color w:val="000000" w:themeColor="text1"/>
          <w14:textFill>
            <w14:solidFill>
              <w14:schemeClr w14:val="tx1"/>
            </w14:solidFill>
          </w14:textFill>
        </w:rPr>
      </w:pPr>
      <w:bookmarkStart w:id="57" w:name="_Toc103954936"/>
      <w:r>
        <w:rPr>
          <w:rFonts w:hint="eastAsia"/>
          <w:color w:val="000000" w:themeColor="text1"/>
          <w14:textFill>
            <w14:solidFill>
              <w14:schemeClr w14:val="tx1"/>
            </w14:solidFill>
          </w14:textFill>
        </w:rPr>
        <w:t>附件</w:t>
      </w:r>
      <w:bookmarkEnd w:id="54"/>
      <w:bookmarkEnd w:id="55"/>
      <w:bookmarkEnd w:id="56"/>
      <w:bookmarkEnd w:id="57"/>
    </w:p>
    <w:p>
      <w:pPr>
        <w:spacing w:line="360" w:lineRule="auto"/>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1.</w:t>
      </w:r>
      <w:bookmarkStart w:id="58" w:name="_Toc171772137"/>
      <w:bookmarkStart w:id="59" w:name="_Toc175710855"/>
      <w:r>
        <w:rPr>
          <w:rFonts w:hint="eastAsia" w:ascii="仿宋_GB2312" w:hAnsi="宋体" w:eastAsia="仿宋_GB2312" w:cs="仿宋_GB2312"/>
          <w:color w:val="000000" w:themeColor="text1"/>
          <w:sz w:val="32"/>
          <w:szCs w:val="32"/>
          <w14:textFill>
            <w14:solidFill>
              <w14:schemeClr w14:val="tx1"/>
            </w14:solidFill>
          </w14:textFill>
        </w:rPr>
        <w:t>专家及评价工作组情况表</w:t>
      </w:r>
    </w:p>
    <w:bookmarkEnd w:id="58"/>
    <w:bookmarkEnd w:id="59"/>
    <w:p>
      <w:pPr>
        <w:spacing w:line="360" w:lineRule="auto"/>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2.专家意见汇总书</w:t>
      </w:r>
    </w:p>
    <w:p>
      <w:pPr>
        <w:spacing w:line="360" w:lineRule="auto"/>
        <w:ind w:firstLine="640" w:firstLineChars="200"/>
        <w:rPr>
          <w:rFonts w:hint="eastAsia"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3.指标体系及打分情况</w:t>
      </w:r>
    </w:p>
    <w:bookmarkEnd w:id="60"/>
    <w:sectPr>
      <w:footerReference r:id="rId8" w:type="default"/>
      <w:pgSz w:w="11906" w:h="16838"/>
      <w:pgMar w:top="1418" w:right="1418" w:bottom="1418" w:left="1418" w:header="851" w:footer="992" w:gutter="284"/>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43181962"/>
                            <w:docPartObj>
                              <w:docPartGallery w:val="autotext"/>
                            </w:docPartObj>
                          </w:sdtPr>
                          <w:sdtContent>
                            <w:p>
                              <w:pPr>
                                <w:pStyle w:val="17"/>
                                <w:jc w:val="center"/>
                              </w:pPr>
                              <w:r>
                                <w:fldChar w:fldCharType="begin"/>
                              </w:r>
                              <w:r>
                                <w:instrText xml:space="preserve">PAGE   \* MERGEFORMAT</w:instrText>
                              </w:r>
                              <w:r>
                                <w:fldChar w:fldCharType="separate"/>
                              </w:r>
                              <w:r>
                                <w:rPr>
                                  <w:lang w:val="zh-CN"/>
                                </w:rPr>
                                <w:t>22</w:t>
                              </w:r>
                              <w:r>
                                <w:fldChar w:fldCharType="end"/>
                              </w:r>
                            </w:p>
                          </w:sdtContent>
                        </w:sd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43181962"/>
                      <w:docPartObj>
                        <w:docPartGallery w:val="autotext"/>
                      </w:docPartObj>
                    </w:sdtPr>
                    <w:sdtContent>
                      <w:p>
                        <w:pPr>
                          <w:pStyle w:val="17"/>
                          <w:jc w:val="center"/>
                        </w:pPr>
                        <w:r>
                          <w:fldChar w:fldCharType="begin"/>
                        </w:r>
                        <w:r>
                          <w:instrText xml:space="preserve">PAGE   \* MERGEFORMAT</w:instrText>
                        </w:r>
                        <w:r>
                          <w:fldChar w:fldCharType="separate"/>
                        </w:r>
                        <w:r>
                          <w:rPr>
                            <w:lang w:val="zh-CN"/>
                          </w:rPr>
                          <w:t>22</w:t>
                        </w:r>
                        <w:r>
                          <w:fldChar w:fldCharType="end"/>
                        </w:r>
                      </w:p>
                    </w:sdtContent>
                  </w:sdt>
                  <w:p>
                    <w:pPr>
                      <w:pStyle w:val="8"/>
                    </w:pPr>
                  </w:p>
                </w:txbxContent>
              </v:textbox>
            </v:shape>
          </w:pict>
        </mc:Fallback>
      </mc:AlternateContent>
    </w:r>
  </w:p>
  <w:p>
    <w:pPr>
      <w:pStyle w:val="17"/>
      <w:tabs>
        <w:tab w:val="center" w:pos="4393"/>
        <w:tab w:val="right" w:pos="878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47F45"/>
    <w:multiLevelType w:val="multilevel"/>
    <w:tmpl w:val="43C47F45"/>
    <w:lvl w:ilvl="0" w:tentative="0">
      <w:start w:val="6"/>
      <w:numFmt w:val="japaneseCounting"/>
      <w:lvlText w:val="%1、"/>
      <w:lvlJc w:val="left"/>
      <w:pPr>
        <w:ind w:left="1287" w:hanging="720"/>
      </w:pPr>
      <w:rPr>
        <w:rFonts w:hint="default" w:ascii="黑体" w:hAnsi="黑体" w:cs="黑体"/>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6D457F3"/>
    <w:multiLevelType w:val="singleLevel"/>
    <w:tmpl w:val="56D457F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iYmRkMGY3YTU0ZmVjYTdhMTFlNTNiMTYzN2RkMjAifQ=="/>
  </w:docVars>
  <w:rsids>
    <w:rsidRoot w:val="00860FF2"/>
    <w:rsid w:val="000144BB"/>
    <w:rsid w:val="00025BA4"/>
    <w:rsid w:val="00047BC8"/>
    <w:rsid w:val="00076C34"/>
    <w:rsid w:val="00084C6D"/>
    <w:rsid w:val="000B3FC5"/>
    <w:rsid w:val="000F526B"/>
    <w:rsid w:val="00137BD3"/>
    <w:rsid w:val="00165003"/>
    <w:rsid w:val="00170E59"/>
    <w:rsid w:val="001824FB"/>
    <w:rsid w:val="001969B0"/>
    <w:rsid w:val="001A6B31"/>
    <w:rsid w:val="001B482C"/>
    <w:rsid w:val="001B4AE3"/>
    <w:rsid w:val="001B6B4C"/>
    <w:rsid w:val="001C0645"/>
    <w:rsid w:val="001D52C6"/>
    <w:rsid w:val="002211FC"/>
    <w:rsid w:val="00243F3B"/>
    <w:rsid w:val="00253054"/>
    <w:rsid w:val="00262707"/>
    <w:rsid w:val="002B4924"/>
    <w:rsid w:val="002B63B9"/>
    <w:rsid w:val="002C460A"/>
    <w:rsid w:val="002E0928"/>
    <w:rsid w:val="002E427E"/>
    <w:rsid w:val="00365F69"/>
    <w:rsid w:val="00375A95"/>
    <w:rsid w:val="00394032"/>
    <w:rsid w:val="003C2EF5"/>
    <w:rsid w:val="003C6053"/>
    <w:rsid w:val="003E0D20"/>
    <w:rsid w:val="003E5251"/>
    <w:rsid w:val="00405DFD"/>
    <w:rsid w:val="004321EC"/>
    <w:rsid w:val="00447E67"/>
    <w:rsid w:val="00465DF4"/>
    <w:rsid w:val="004669C5"/>
    <w:rsid w:val="004A5081"/>
    <w:rsid w:val="004C16F6"/>
    <w:rsid w:val="004D5B85"/>
    <w:rsid w:val="004E393F"/>
    <w:rsid w:val="005330B6"/>
    <w:rsid w:val="00561D08"/>
    <w:rsid w:val="00571AE3"/>
    <w:rsid w:val="005B3C87"/>
    <w:rsid w:val="005C6660"/>
    <w:rsid w:val="00625E28"/>
    <w:rsid w:val="00676ACD"/>
    <w:rsid w:val="0068432A"/>
    <w:rsid w:val="006B2DC2"/>
    <w:rsid w:val="006C0FC3"/>
    <w:rsid w:val="006C56FF"/>
    <w:rsid w:val="006D7F4F"/>
    <w:rsid w:val="006E0CD6"/>
    <w:rsid w:val="006E3841"/>
    <w:rsid w:val="00776D8E"/>
    <w:rsid w:val="0080314E"/>
    <w:rsid w:val="00812AD3"/>
    <w:rsid w:val="008306C8"/>
    <w:rsid w:val="00860FF2"/>
    <w:rsid w:val="00870CCA"/>
    <w:rsid w:val="00880038"/>
    <w:rsid w:val="008814A8"/>
    <w:rsid w:val="008A5DF7"/>
    <w:rsid w:val="00923198"/>
    <w:rsid w:val="009B460F"/>
    <w:rsid w:val="009F5FB9"/>
    <w:rsid w:val="00A2252A"/>
    <w:rsid w:val="00A26908"/>
    <w:rsid w:val="00A52AC0"/>
    <w:rsid w:val="00A708D3"/>
    <w:rsid w:val="00A7207F"/>
    <w:rsid w:val="00AB6C89"/>
    <w:rsid w:val="00AC03B3"/>
    <w:rsid w:val="00AD622B"/>
    <w:rsid w:val="00AF09F7"/>
    <w:rsid w:val="00B03CB1"/>
    <w:rsid w:val="00B14172"/>
    <w:rsid w:val="00B34038"/>
    <w:rsid w:val="00B61C2A"/>
    <w:rsid w:val="00B6794A"/>
    <w:rsid w:val="00B82AA8"/>
    <w:rsid w:val="00BD637D"/>
    <w:rsid w:val="00BF683C"/>
    <w:rsid w:val="00C14A3C"/>
    <w:rsid w:val="00C4068F"/>
    <w:rsid w:val="00C41A5C"/>
    <w:rsid w:val="00CA44E9"/>
    <w:rsid w:val="00CB2EB9"/>
    <w:rsid w:val="00D05805"/>
    <w:rsid w:val="00D1352F"/>
    <w:rsid w:val="00D3646B"/>
    <w:rsid w:val="00D74BF6"/>
    <w:rsid w:val="00D7723A"/>
    <w:rsid w:val="00E03C7D"/>
    <w:rsid w:val="00E26FA1"/>
    <w:rsid w:val="00E61415"/>
    <w:rsid w:val="00EB6864"/>
    <w:rsid w:val="00EB6943"/>
    <w:rsid w:val="00EE15EC"/>
    <w:rsid w:val="00F34D5A"/>
    <w:rsid w:val="00F51BA3"/>
    <w:rsid w:val="00F628B5"/>
    <w:rsid w:val="00FD09C9"/>
    <w:rsid w:val="00FF04D1"/>
    <w:rsid w:val="022D30A7"/>
    <w:rsid w:val="06053772"/>
    <w:rsid w:val="0A053D41"/>
    <w:rsid w:val="0A960E3D"/>
    <w:rsid w:val="0B207BB0"/>
    <w:rsid w:val="0D370545"/>
    <w:rsid w:val="0D665AE8"/>
    <w:rsid w:val="0FF6591C"/>
    <w:rsid w:val="1431435E"/>
    <w:rsid w:val="17465CBA"/>
    <w:rsid w:val="179D1A5D"/>
    <w:rsid w:val="1DFD5DEA"/>
    <w:rsid w:val="1E960FB4"/>
    <w:rsid w:val="1F7E2174"/>
    <w:rsid w:val="1FB02549"/>
    <w:rsid w:val="23BB0861"/>
    <w:rsid w:val="29C015DB"/>
    <w:rsid w:val="2CAE5E0D"/>
    <w:rsid w:val="2DBA5C97"/>
    <w:rsid w:val="2E5F4FD7"/>
    <w:rsid w:val="2EFA5ADE"/>
    <w:rsid w:val="322D0BCE"/>
    <w:rsid w:val="3AED190D"/>
    <w:rsid w:val="3BDC38C3"/>
    <w:rsid w:val="3EAC77CB"/>
    <w:rsid w:val="42E81AF6"/>
    <w:rsid w:val="460838C7"/>
    <w:rsid w:val="46805DCB"/>
    <w:rsid w:val="46A277C7"/>
    <w:rsid w:val="46AE0CE1"/>
    <w:rsid w:val="48FA113B"/>
    <w:rsid w:val="49EA1D42"/>
    <w:rsid w:val="4B9A6952"/>
    <w:rsid w:val="500163ED"/>
    <w:rsid w:val="5AE9302C"/>
    <w:rsid w:val="5C2F2DBA"/>
    <w:rsid w:val="5D482368"/>
    <w:rsid w:val="63882CC9"/>
    <w:rsid w:val="654B457E"/>
    <w:rsid w:val="66190A39"/>
    <w:rsid w:val="667F0107"/>
    <w:rsid w:val="698C05B6"/>
    <w:rsid w:val="6BF24661"/>
    <w:rsid w:val="6E3C688C"/>
    <w:rsid w:val="6EA9591E"/>
    <w:rsid w:val="6F7B69DA"/>
    <w:rsid w:val="710739BF"/>
    <w:rsid w:val="75CF63FA"/>
    <w:rsid w:val="790E2D96"/>
    <w:rsid w:val="79243176"/>
    <w:rsid w:val="7A5B34D9"/>
    <w:rsid w:val="7BE83B78"/>
    <w:rsid w:val="7F5F6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spacing w:before="240" w:after="240" w:line="360" w:lineRule="auto"/>
      <w:ind w:firstLine="200" w:firstLineChars="200"/>
      <w:outlineLvl w:val="0"/>
    </w:pPr>
    <w:rPr>
      <w:rFonts w:eastAsia="黑体"/>
      <w:b/>
      <w:bCs/>
      <w:kern w:val="44"/>
      <w:sz w:val="32"/>
      <w:szCs w:val="44"/>
    </w:rPr>
  </w:style>
  <w:style w:type="paragraph" w:styleId="4">
    <w:name w:val="heading 2"/>
    <w:basedOn w:val="1"/>
    <w:next w:val="1"/>
    <w:link w:val="35"/>
    <w:qFormat/>
    <w:uiPriority w:val="99"/>
    <w:pPr>
      <w:keepNext/>
      <w:keepLines/>
      <w:spacing w:before="240" w:after="240" w:line="415" w:lineRule="auto"/>
      <w:ind w:firstLine="200" w:firstLineChars="200"/>
      <w:outlineLvl w:val="1"/>
    </w:pPr>
    <w:rPr>
      <w:rFonts w:ascii="Arial" w:hAnsi="Arial" w:eastAsia="楷体"/>
      <w:b/>
      <w:bCs/>
      <w:kern w:val="0"/>
      <w:sz w:val="32"/>
      <w:szCs w:val="32"/>
    </w:rPr>
  </w:style>
  <w:style w:type="paragraph" w:styleId="5">
    <w:name w:val="heading 3"/>
    <w:basedOn w:val="1"/>
    <w:next w:val="1"/>
    <w:link w:val="36"/>
    <w:qFormat/>
    <w:uiPriority w:val="99"/>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2" w:lineRule="auto"/>
      <w:outlineLvl w:val="3"/>
    </w:pPr>
    <w:rPr>
      <w:rFonts w:ascii="Cambria" w:hAnsi="Cambria" w:eastAsia="宋体" w:cs="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4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7"/>
    <w:basedOn w:val="1"/>
    <w:next w:val="1"/>
    <w:semiHidden/>
    <w:qFormat/>
    <w:uiPriority w:val="99"/>
    <w:pPr>
      <w:ind w:left="1260"/>
      <w:jc w:val="left"/>
    </w:pPr>
    <w:rPr>
      <w:sz w:val="20"/>
      <w:szCs w:val="20"/>
    </w:rPr>
  </w:style>
  <w:style w:type="paragraph" w:styleId="8">
    <w:name w:val="Normal Indent"/>
    <w:basedOn w:val="1"/>
    <w:qFormat/>
    <w:uiPriority w:val="99"/>
    <w:pPr>
      <w:ind w:firstLine="420"/>
    </w:pPr>
  </w:style>
  <w:style w:type="paragraph" w:styleId="9">
    <w:name w:val="annotation text"/>
    <w:basedOn w:val="1"/>
    <w:link w:val="37"/>
    <w:semiHidden/>
    <w:qFormat/>
    <w:uiPriority w:val="99"/>
    <w:pPr>
      <w:jc w:val="left"/>
    </w:pPr>
    <w:rPr>
      <w:kern w:val="0"/>
      <w:sz w:val="24"/>
      <w:szCs w:val="24"/>
    </w:rPr>
  </w:style>
  <w:style w:type="paragraph" w:styleId="10">
    <w:name w:val="Body Text Indent"/>
    <w:basedOn w:val="1"/>
    <w:link w:val="38"/>
    <w:qFormat/>
    <w:uiPriority w:val="99"/>
    <w:pPr>
      <w:spacing w:after="120"/>
      <w:ind w:left="420" w:leftChars="200"/>
    </w:pPr>
    <w:rPr>
      <w:kern w:val="0"/>
      <w:sz w:val="24"/>
      <w:szCs w:val="24"/>
    </w:rPr>
  </w:style>
  <w:style w:type="paragraph" w:styleId="11">
    <w:name w:val="toc 5"/>
    <w:basedOn w:val="1"/>
    <w:next w:val="1"/>
    <w:semiHidden/>
    <w:qFormat/>
    <w:uiPriority w:val="99"/>
    <w:pPr>
      <w:ind w:left="840"/>
      <w:jc w:val="left"/>
    </w:pPr>
    <w:rPr>
      <w:sz w:val="20"/>
      <w:szCs w:val="20"/>
    </w:rPr>
  </w:style>
  <w:style w:type="paragraph" w:styleId="12">
    <w:name w:val="toc 3"/>
    <w:basedOn w:val="1"/>
    <w:next w:val="1"/>
    <w:semiHidden/>
    <w:qFormat/>
    <w:uiPriority w:val="99"/>
    <w:pPr>
      <w:ind w:left="420"/>
      <w:jc w:val="left"/>
    </w:pPr>
    <w:rPr>
      <w:sz w:val="20"/>
      <w:szCs w:val="20"/>
    </w:rPr>
  </w:style>
  <w:style w:type="paragraph" w:styleId="13">
    <w:name w:val="toc 8"/>
    <w:basedOn w:val="1"/>
    <w:next w:val="1"/>
    <w:semiHidden/>
    <w:qFormat/>
    <w:uiPriority w:val="99"/>
    <w:pPr>
      <w:ind w:left="1470"/>
      <w:jc w:val="left"/>
    </w:pPr>
    <w:rPr>
      <w:sz w:val="20"/>
      <w:szCs w:val="20"/>
    </w:rPr>
  </w:style>
  <w:style w:type="paragraph" w:styleId="14">
    <w:name w:val="Date"/>
    <w:basedOn w:val="1"/>
    <w:next w:val="1"/>
    <w:link w:val="39"/>
    <w:qFormat/>
    <w:uiPriority w:val="99"/>
    <w:pPr>
      <w:ind w:left="100" w:leftChars="2500"/>
    </w:pPr>
    <w:rPr>
      <w:kern w:val="0"/>
      <w:sz w:val="24"/>
      <w:szCs w:val="24"/>
    </w:rPr>
  </w:style>
  <w:style w:type="paragraph" w:styleId="15">
    <w:name w:val="Body Text Indent 2"/>
    <w:basedOn w:val="1"/>
    <w:link w:val="40"/>
    <w:qFormat/>
    <w:uiPriority w:val="99"/>
    <w:pPr>
      <w:spacing w:before="50" w:after="50" w:line="360" w:lineRule="auto"/>
      <w:ind w:firstLine="480" w:firstLineChars="200"/>
    </w:pPr>
    <w:rPr>
      <w:rFonts w:ascii="仿宋_GB2312" w:eastAsia="仿宋_GB2312"/>
      <w:kern w:val="0"/>
      <w:sz w:val="24"/>
      <w:szCs w:val="24"/>
    </w:rPr>
  </w:style>
  <w:style w:type="paragraph" w:styleId="16">
    <w:name w:val="Balloon Text"/>
    <w:basedOn w:val="1"/>
    <w:link w:val="41"/>
    <w:semiHidden/>
    <w:qFormat/>
    <w:uiPriority w:val="99"/>
    <w:rPr>
      <w:kern w:val="0"/>
      <w:sz w:val="18"/>
      <w:szCs w:val="18"/>
    </w:rPr>
  </w:style>
  <w:style w:type="paragraph" w:styleId="17">
    <w:name w:val="footer"/>
    <w:basedOn w:val="1"/>
    <w:link w:val="42"/>
    <w:qFormat/>
    <w:uiPriority w:val="99"/>
    <w:pPr>
      <w:tabs>
        <w:tab w:val="center" w:pos="4153"/>
        <w:tab w:val="right" w:pos="8306"/>
      </w:tabs>
      <w:snapToGrid w:val="0"/>
      <w:jc w:val="left"/>
    </w:pPr>
    <w:rPr>
      <w:kern w:val="0"/>
      <w:sz w:val="18"/>
      <w:szCs w:val="18"/>
    </w:rPr>
  </w:style>
  <w:style w:type="paragraph" w:styleId="18">
    <w:name w:val="toc 1"/>
    <w:basedOn w:val="1"/>
    <w:next w:val="1"/>
    <w:qFormat/>
    <w:uiPriority w:val="39"/>
    <w:pPr>
      <w:spacing w:before="240" w:after="120"/>
      <w:jc w:val="left"/>
    </w:pPr>
    <w:rPr>
      <w:b/>
      <w:bCs/>
      <w:sz w:val="20"/>
      <w:szCs w:val="20"/>
    </w:rPr>
  </w:style>
  <w:style w:type="paragraph" w:styleId="19">
    <w:name w:val="toc 4"/>
    <w:basedOn w:val="1"/>
    <w:next w:val="1"/>
    <w:semiHidden/>
    <w:qFormat/>
    <w:uiPriority w:val="99"/>
    <w:pPr>
      <w:ind w:left="630"/>
      <w:jc w:val="left"/>
    </w:pPr>
    <w:rPr>
      <w:sz w:val="20"/>
      <w:szCs w:val="20"/>
    </w:rPr>
  </w:style>
  <w:style w:type="paragraph" w:styleId="20">
    <w:name w:val="toc 6"/>
    <w:basedOn w:val="1"/>
    <w:next w:val="1"/>
    <w:semiHidden/>
    <w:qFormat/>
    <w:uiPriority w:val="99"/>
    <w:pPr>
      <w:ind w:left="1050"/>
      <w:jc w:val="left"/>
    </w:pPr>
    <w:rPr>
      <w:sz w:val="20"/>
      <w:szCs w:val="20"/>
    </w:rPr>
  </w:style>
  <w:style w:type="paragraph" w:styleId="21">
    <w:name w:val="index 9"/>
    <w:basedOn w:val="1"/>
    <w:next w:val="1"/>
    <w:unhideWhenUsed/>
    <w:qFormat/>
    <w:uiPriority w:val="99"/>
    <w:pPr>
      <w:ind w:left="1600" w:leftChars="1600"/>
    </w:pPr>
  </w:style>
  <w:style w:type="paragraph" w:styleId="22">
    <w:name w:val="toc 2"/>
    <w:basedOn w:val="1"/>
    <w:next w:val="1"/>
    <w:qFormat/>
    <w:uiPriority w:val="39"/>
    <w:pPr>
      <w:tabs>
        <w:tab w:val="right" w:leader="dot" w:pos="8776"/>
      </w:tabs>
      <w:spacing w:before="120"/>
      <w:ind w:left="210"/>
      <w:jc w:val="left"/>
    </w:pPr>
    <w:rPr>
      <w:rFonts w:ascii="宋体" w:hAnsi="宋体" w:cs="宋体"/>
      <w:sz w:val="24"/>
      <w:szCs w:val="24"/>
    </w:rPr>
  </w:style>
  <w:style w:type="paragraph" w:styleId="23">
    <w:name w:val="toc 9"/>
    <w:basedOn w:val="1"/>
    <w:next w:val="1"/>
    <w:semiHidden/>
    <w:qFormat/>
    <w:uiPriority w:val="99"/>
    <w:pPr>
      <w:ind w:left="1680"/>
      <w:jc w:val="left"/>
    </w:pPr>
    <w:rPr>
      <w:sz w:val="20"/>
      <w:szCs w:val="2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annotation subject"/>
    <w:basedOn w:val="9"/>
    <w:next w:val="9"/>
    <w:link w:val="44"/>
    <w:semiHidden/>
    <w:qFormat/>
    <w:uiPriority w:val="99"/>
    <w:rPr>
      <w:b/>
      <w:bCs/>
    </w:rPr>
  </w:style>
  <w:style w:type="table" w:styleId="27">
    <w:name w:val="Table Grid"/>
    <w:basedOn w:val="26"/>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qFormat/>
    <w:uiPriority w:val="99"/>
  </w:style>
  <w:style w:type="character" w:styleId="31">
    <w:name w:val="Emphasis"/>
    <w:basedOn w:val="28"/>
    <w:qFormat/>
    <w:uiPriority w:val="20"/>
    <w:rPr>
      <w:i/>
    </w:rPr>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basedOn w:val="28"/>
    <w:link w:val="3"/>
    <w:qFormat/>
    <w:uiPriority w:val="99"/>
    <w:rPr>
      <w:rFonts w:ascii="Times New Roman" w:hAnsi="Times New Roman" w:eastAsia="黑体" w:cs="Times New Roman"/>
      <w:b/>
      <w:bCs/>
      <w:kern w:val="44"/>
      <w:sz w:val="32"/>
      <w:szCs w:val="44"/>
    </w:rPr>
  </w:style>
  <w:style w:type="character" w:customStyle="1" w:styleId="35">
    <w:name w:val="标题 2 Char"/>
    <w:basedOn w:val="28"/>
    <w:link w:val="4"/>
    <w:qFormat/>
    <w:uiPriority w:val="99"/>
    <w:rPr>
      <w:rFonts w:ascii="Arial" w:hAnsi="Arial" w:eastAsia="楷体" w:cs="Times New Roman"/>
      <w:b/>
      <w:bCs/>
      <w:kern w:val="0"/>
      <w:sz w:val="32"/>
      <w:szCs w:val="32"/>
    </w:rPr>
  </w:style>
  <w:style w:type="character" w:customStyle="1" w:styleId="36">
    <w:name w:val="标题 3 Char"/>
    <w:basedOn w:val="28"/>
    <w:link w:val="5"/>
    <w:qFormat/>
    <w:uiPriority w:val="99"/>
    <w:rPr>
      <w:rFonts w:ascii="Times New Roman" w:hAnsi="Times New Roman" w:eastAsia="宋体" w:cs="Times New Roman"/>
      <w:b/>
      <w:bCs/>
      <w:kern w:val="0"/>
      <w:sz w:val="32"/>
      <w:szCs w:val="32"/>
    </w:rPr>
  </w:style>
  <w:style w:type="character" w:customStyle="1" w:styleId="37">
    <w:name w:val="批注文字 Char"/>
    <w:basedOn w:val="28"/>
    <w:link w:val="9"/>
    <w:semiHidden/>
    <w:qFormat/>
    <w:uiPriority w:val="99"/>
    <w:rPr>
      <w:rFonts w:ascii="Times New Roman" w:hAnsi="Times New Roman" w:eastAsia="宋体" w:cs="Times New Roman"/>
      <w:kern w:val="0"/>
      <w:sz w:val="24"/>
      <w:szCs w:val="24"/>
    </w:rPr>
  </w:style>
  <w:style w:type="character" w:customStyle="1" w:styleId="38">
    <w:name w:val="正文文本缩进 Char"/>
    <w:basedOn w:val="28"/>
    <w:link w:val="10"/>
    <w:qFormat/>
    <w:uiPriority w:val="99"/>
    <w:rPr>
      <w:rFonts w:ascii="Times New Roman" w:hAnsi="Times New Roman" w:eastAsia="宋体" w:cs="Times New Roman"/>
      <w:kern w:val="0"/>
      <w:sz w:val="24"/>
      <w:szCs w:val="24"/>
    </w:rPr>
  </w:style>
  <w:style w:type="character" w:customStyle="1" w:styleId="39">
    <w:name w:val="日期 Char"/>
    <w:basedOn w:val="28"/>
    <w:link w:val="14"/>
    <w:qFormat/>
    <w:uiPriority w:val="99"/>
    <w:rPr>
      <w:rFonts w:ascii="Times New Roman" w:hAnsi="Times New Roman" w:eastAsia="宋体" w:cs="Times New Roman"/>
      <w:kern w:val="0"/>
      <w:sz w:val="24"/>
      <w:szCs w:val="24"/>
    </w:rPr>
  </w:style>
  <w:style w:type="character" w:customStyle="1" w:styleId="40">
    <w:name w:val="正文文本缩进 2 Char"/>
    <w:basedOn w:val="28"/>
    <w:link w:val="15"/>
    <w:qFormat/>
    <w:uiPriority w:val="99"/>
    <w:rPr>
      <w:rFonts w:ascii="仿宋_GB2312" w:hAnsi="Times New Roman" w:eastAsia="仿宋_GB2312" w:cs="Times New Roman"/>
      <w:kern w:val="0"/>
      <w:sz w:val="24"/>
      <w:szCs w:val="24"/>
    </w:rPr>
  </w:style>
  <w:style w:type="character" w:customStyle="1" w:styleId="41">
    <w:name w:val="批注框文本 Char"/>
    <w:basedOn w:val="28"/>
    <w:link w:val="16"/>
    <w:semiHidden/>
    <w:qFormat/>
    <w:uiPriority w:val="99"/>
    <w:rPr>
      <w:rFonts w:ascii="Times New Roman" w:hAnsi="Times New Roman" w:eastAsia="宋体" w:cs="Times New Roman"/>
      <w:kern w:val="0"/>
      <w:sz w:val="18"/>
      <w:szCs w:val="18"/>
    </w:rPr>
  </w:style>
  <w:style w:type="character" w:customStyle="1" w:styleId="42">
    <w:name w:val="页脚 Char"/>
    <w:basedOn w:val="28"/>
    <w:link w:val="17"/>
    <w:qFormat/>
    <w:uiPriority w:val="99"/>
    <w:rPr>
      <w:rFonts w:ascii="Times New Roman" w:hAnsi="Times New Roman" w:eastAsia="宋体" w:cs="Times New Roman"/>
      <w:kern w:val="0"/>
      <w:sz w:val="18"/>
      <w:szCs w:val="18"/>
    </w:rPr>
  </w:style>
  <w:style w:type="character" w:customStyle="1" w:styleId="43">
    <w:name w:val="页眉 Char"/>
    <w:basedOn w:val="28"/>
    <w:link w:val="2"/>
    <w:qFormat/>
    <w:uiPriority w:val="99"/>
    <w:rPr>
      <w:rFonts w:ascii="Times New Roman" w:hAnsi="Times New Roman" w:eastAsia="宋体" w:cs="Times New Roman"/>
      <w:kern w:val="0"/>
      <w:sz w:val="18"/>
      <w:szCs w:val="18"/>
    </w:rPr>
  </w:style>
  <w:style w:type="character" w:customStyle="1" w:styleId="44">
    <w:name w:val="批注主题 Char"/>
    <w:basedOn w:val="37"/>
    <w:link w:val="25"/>
    <w:semiHidden/>
    <w:qFormat/>
    <w:uiPriority w:val="99"/>
    <w:rPr>
      <w:rFonts w:ascii="Times New Roman" w:hAnsi="Times New Roman" w:eastAsia="宋体" w:cs="Times New Roman"/>
      <w:b/>
      <w:bCs/>
      <w:kern w:val="0"/>
      <w:sz w:val="24"/>
      <w:szCs w:val="24"/>
    </w:rPr>
  </w:style>
  <w:style w:type="character" w:customStyle="1" w:styleId="45">
    <w:name w:val="f11"/>
    <w:qFormat/>
    <w:uiPriority w:val="99"/>
    <w:rPr>
      <w:b/>
      <w:bCs/>
      <w:color w:val="0000FF"/>
      <w:sz w:val="20"/>
      <w:szCs w:val="20"/>
    </w:rPr>
  </w:style>
  <w:style w:type="paragraph" w:customStyle="1" w:styleId="46">
    <w:name w:val="Char Char Char Char"/>
    <w:basedOn w:val="1"/>
    <w:qFormat/>
    <w:uiPriority w:val="99"/>
    <w:rPr>
      <w:rFonts w:ascii="Tahoma" w:hAnsi="Tahoma" w:cs="Tahoma"/>
      <w:sz w:val="24"/>
      <w:szCs w:val="24"/>
    </w:rPr>
  </w:style>
  <w:style w:type="paragraph" w:customStyle="1" w:styleId="47">
    <w:name w:val="Char Char Char1 Char"/>
    <w:basedOn w:val="1"/>
    <w:qFormat/>
    <w:uiPriority w:val="99"/>
    <w:pPr>
      <w:spacing w:line="360" w:lineRule="auto"/>
      <w:ind w:firstLine="200" w:firstLineChars="200"/>
    </w:pPr>
    <w:rPr>
      <w:rFonts w:ascii="宋体" w:hAnsi="宋体" w:cs="宋体"/>
      <w:sz w:val="24"/>
      <w:szCs w:val="24"/>
    </w:rPr>
  </w:style>
  <w:style w:type="paragraph" w:customStyle="1" w:styleId="48">
    <w:name w:val="Char Char Char1 Char Char Char Char"/>
    <w:basedOn w:val="1"/>
    <w:qFormat/>
    <w:uiPriority w:val="99"/>
  </w:style>
  <w:style w:type="paragraph" w:styleId="49">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50">
    <w:name w:val="Char Char1 Char"/>
    <w:basedOn w:val="1"/>
    <w:qFormat/>
    <w:uiPriority w:val="99"/>
    <w:pPr>
      <w:widowControl/>
      <w:snapToGrid w:val="0"/>
      <w:spacing w:before="120" w:after="160" w:line="360" w:lineRule="auto"/>
      <w:ind w:right="-360"/>
      <w:jc w:val="left"/>
    </w:pPr>
    <w:rPr>
      <w:rFonts w:ascii="Arial" w:hAnsi="Arial" w:cs="Arial"/>
      <w:kern w:val="0"/>
      <w:sz w:val="24"/>
      <w:szCs w:val="24"/>
      <w:lang w:eastAsia="en-US"/>
    </w:rPr>
  </w:style>
  <w:style w:type="paragraph" w:customStyle="1" w:styleId="51">
    <w:name w:val="Char"/>
    <w:basedOn w:val="1"/>
    <w:qFormat/>
    <w:uiPriority w:val="0"/>
    <w:pPr>
      <w:spacing w:line="360" w:lineRule="auto"/>
      <w:jc w:val="left"/>
    </w:pPr>
  </w:style>
  <w:style w:type="paragraph" w:customStyle="1" w:styleId="52">
    <w:name w:val="_Style 1"/>
    <w:basedOn w:val="1"/>
    <w:qFormat/>
    <w:uiPriority w:val="0"/>
    <w:pPr>
      <w:spacing w:line="360" w:lineRule="auto"/>
      <w:ind w:firstLine="200" w:firstLineChars="200"/>
    </w:pPr>
    <w:rPr>
      <w:rFonts w:ascii="宋体" w:hAnsi="宋体" w:cs="宋体"/>
      <w:sz w:val="24"/>
      <w:szCs w:val="24"/>
    </w:rPr>
  </w:style>
  <w:style w:type="paragraph" w:customStyle="1" w:styleId="53">
    <w:name w:val="彩色列表 - 强调文字颜色 11"/>
    <w:basedOn w:val="1"/>
    <w:qFormat/>
    <w:uiPriority w:val="34"/>
    <w:pPr>
      <w:ind w:firstLine="420" w:firstLineChars="200"/>
    </w:pPr>
    <w:rPr>
      <w:rFonts w:ascii="Calibri" w:hAnsi="Calibri"/>
      <w:szCs w:val="22"/>
    </w:rPr>
  </w:style>
  <w:style w:type="paragraph" w:customStyle="1" w:styleId="54">
    <w:name w:val="BodyText"/>
    <w:basedOn w:val="1"/>
    <w:next w:val="55"/>
    <w:qFormat/>
    <w:uiPriority w:val="0"/>
    <w:pPr>
      <w:spacing w:after="120"/>
    </w:pPr>
  </w:style>
  <w:style w:type="paragraph" w:customStyle="1" w:styleId="55">
    <w:name w:val="UserStyle_0"/>
    <w:next w:val="1"/>
    <w:qFormat/>
    <w:uiPriority w:val="0"/>
    <w:pPr>
      <w:jc w:val="both"/>
      <w:textAlignment w:val="baseline"/>
    </w:pPr>
    <w:rPr>
      <w:rFonts w:ascii="Times New Roman" w:hAnsi="Times New Roman" w:eastAsia="宋体"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3AF9D-BA86-4CBF-9D0A-B345C2E2DA4E}">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8451</Words>
  <Characters>8690</Characters>
  <Lines>445</Lines>
  <Paragraphs>351</Paragraphs>
  <TotalTime>31</TotalTime>
  <ScaleCrop>false</ScaleCrop>
  <LinksUpToDate>false</LinksUpToDate>
  <CharactersWithSpaces>8811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2023-01-13T14:29:00Z</dcterms:created>
  <dc:creator>jgxu0</dc:creator>
  <cp:lastModifiedBy>Administrator</cp:lastModifiedBy>
  <dcterms:modified xsi:type="dcterms:W3CDTF">2023-06-07T11:09:02Z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B93AD22731754554863BCEB9A017E501</vt:lpwstr>
  </property>
</Properties>
</file>