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B97ECB" w14:paraId="17AC2900" w14:textId="77777777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B5BCE" w14:textId="77777777" w:rsidR="00B97ECB" w:rsidRDefault="002A448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B97ECB" w14:paraId="5F04DC9C" w14:textId="77777777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CF03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（2024年度）</w:t>
            </w:r>
          </w:p>
        </w:tc>
      </w:tr>
      <w:tr w:rsidR="00B97ECB" w14:paraId="4A29504E" w14:textId="77777777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79CF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C35F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留守点经费</w:t>
            </w:r>
          </w:p>
        </w:tc>
      </w:tr>
      <w:tr w:rsidR="00B97ECB" w14:paraId="748709FE" w14:textId="77777777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635B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33FE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4ED5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1CB1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中共北京市委统战部</w:t>
            </w:r>
          </w:p>
        </w:tc>
      </w:tr>
      <w:tr w:rsidR="00B97ECB" w14:paraId="666064FC" w14:textId="77777777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A03E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项目资金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7E37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25019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C1B2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18CF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A4C7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5F50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BB83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得分</w:t>
            </w:r>
          </w:p>
        </w:tc>
      </w:tr>
      <w:tr w:rsidR="00B97ECB" w14:paraId="7AF1C337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95C8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F213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8F3F" w14:textId="77777777" w:rsidR="00B97ECB" w:rsidRDefault="002A448D">
            <w:pPr>
              <w:jc w:val="center"/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452</w:t>
            </w: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.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84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854D" w14:textId="77777777" w:rsidR="00B97ECB" w:rsidRDefault="002A448D">
            <w:pPr>
              <w:jc w:val="center"/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452</w:t>
            </w: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.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84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6B1C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426</w:t>
            </w: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.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45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1799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4A24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94%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1A20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</w:t>
            </w:r>
          </w:p>
        </w:tc>
      </w:tr>
      <w:tr w:rsidR="00B97ECB" w14:paraId="1335049F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BBF2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5B46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4A33" w14:textId="77777777" w:rsidR="00B97ECB" w:rsidRDefault="002A448D">
            <w:pPr>
              <w:jc w:val="center"/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452</w:t>
            </w: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.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84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AA3F" w14:textId="77777777" w:rsidR="00B97ECB" w:rsidRDefault="002A448D">
            <w:pPr>
              <w:jc w:val="center"/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452</w:t>
            </w: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.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84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36BF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426</w:t>
            </w: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.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45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F888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AC89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94%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B1C7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:rsidR="00B97ECB" w14:paraId="0B676A4A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50BE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6B3B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9E35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AC07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A5C3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AF9B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D84F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1A90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:rsidR="00B97ECB" w14:paraId="2984FA00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5705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A6B5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E4A3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A13B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EE1B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E56B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779B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013D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:rsidR="00B97ECB" w14:paraId="29DBB37C" w14:textId="77777777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BAE3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C2A0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AB4A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实际完成情况</w:t>
            </w:r>
          </w:p>
        </w:tc>
      </w:tr>
      <w:tr w:rsidR="00B97ECB" w14:paraId="42639E49" w14:textId="77777777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A45C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5610" w14:textId="77777777" w:rsidR="00B97ECB" w:rsidRDefault="002A448D">
            <w:pPr>
              <w:jc w:val="left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保障北京市党派团体办公楼正常运转,满足日常维护维修运行需要,更好的为楼内各单位提供后勤保障与服务.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6DD3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完成了年度总体目标</w:t>
            </w:r>
          </w:p>
        </w:tc>
      </w:tr>
      <w:tr w:rsidR="00B97ECB" w14:paraId="4E96E86C" w14:textId="77777777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F062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F7DE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33DE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5D47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1FE2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41E2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DFE9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3F3D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737C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偏差原因分析及改进措施</w:t>
            </w:r>
          </w:p>
        </w:tc>
      </w:tr>
      <w:tr w:rsidR="00B97ECB" w14:paraId="4FE03C4F" w14:textId="77777777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8E6A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E1441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AE16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服务对象满意度指标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85DC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服务对象满意度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9394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/>
                <w:sz w:val="13"/>
                <w:szCs w:val="13"/>
              </w:rPr>
              <w:t>90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6E35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05C0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26E8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5D50" w14:textId="391BEDD7" w:rsidR="00B97ECB" w:rsidRDefault="00C3542A" w:rsidP="007B3F9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服务还有</w:t>
            </w:r>
            <w:r w:rsidR="00682E79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提高空间</w:t>
            </w:r>
          </w:p>
        </w:tc>
      </w:tr>
      <w:tr w:rsidR="00B97ECB" w14:paraId="6F588EDA" w14:textId="77777777">
        <w:trPr>
          <w:trHeight w:val="505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556D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C8D3F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效益指标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9784F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109D8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运转保障率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71B454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/>
                <w:sz w:val="13"/>
                <w:szCs w:val="13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C6E83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B81F4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CD4C3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137E7" w14:textId="746E79E9" w:rsidR="00B97ECB" w:rsidRDefault="00682E79" w:rsidP="00127DF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在</w:t>
            </w:r>
            <w:r w:rsidR="00127DF1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运转保障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率方面</w:t>
            </w:r>
            <w:r w:rsidR="00127DF1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还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有</w:t>
            </w:r>
            <w:r w:rsidR="00127DF1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提高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空间</w:t>
            </w:r>
          </w:p>
        </w:tc>
      </w:tr>
      <w:tr w:rsidR="00B97ECB" w14:paraId="13EC5D02" w14:textId="77777777">
        <w:trPr>
          <w:trHeight w:val="4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1F3C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EAF7DD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效益指标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5ECA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81DCED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加强多党合作,扩大统一战线影响力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8F94EE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/>
                <w:sz w:val="13"/>
                <w:szCs w:val="13"/>
              </w:rPr>
              <w:t>1000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61308C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980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633E5D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A22BD6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EA386C" w14:textId="133072F8" w:rsidR="00B97ECB" w:rsidRDefault="00127DF1" w:rsidP="00682E7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在扩大影响力方面还有提高</w:t>
            </w:r>
            <w:r w:rsidR="00682E79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空间</w:t>
            </w:r>
          </w:p>
        </w:tc>
      </w:tr>
      <w:tr w:rsidR="00B97ECB" w14:paraId="4C015156" w14:textId="77777777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9697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A2628B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0F8E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D104E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预算编制质量=</w:t>
            </w:r>
            <w:r>
              <w:rPr>
                <w:rFonts w:ascii="宋体" w:eastAsia="宋体" w:hAnsi="宋体" w:cs="宋体" w:hint="eastAsia"/>
                <w:sz w:val="13"/>
                <w:szCs w:val="13"/>
              </w:rPr>
              <w:t>∣</w:t>
            </w:r>
            <w:r>
              <w:rPr>
                <w:rFonts w:ascii="仿宋_GB2312" w:eastAsia="仿宋_GB2312" w:hAnsi="仿宋_GB2312" w:cs="仿宋_GB2312" w:hint="eastAsia"/>
                <w:sz w:val="13"/>
                <w:szCs w:val="13"/>
              </w:rPr>
              <w:t>（执行数</w:t>
            </w:r>
            <w:r>
              <w:rPr>
                <w:rFonts w:ascii="仿宋_GB2312" w:eastAsia="仿宋_GB2312" w:hint="eastAsia"/>
                <w:sz w:val="13"/>
                <w:szCs w:val="13"/>
              </w:rPr>
              <w:t>-预算数）/预算数</w:t>
            </w:r>
            <w:r>
              <w:rPr>
                <w:rFonts w:ascii="宋体" w:eastAsia="宋体" w:hAnsi="宋体" w:cs="宋体" w:hint="eastAsia"/>
                <w:sz w:val="13"/>
                <w:szCs w:val="13"/>
              </w:rPr>
              <w:t>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5C6FB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/>
                <w:sz w:val="13"/>
                <w:szCs w:val="13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458805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0.06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32548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ACEF9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75648" w14:textId="7794F648" w:rsidR="00B97ECB" w:rsidRDefault="00127DF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部分经费未支出</w:t>
            </w:r>
          </w:p>
        </w:tc>
      </w:tr>
      <w:tr w:rsidR="00B97ECB" w14:paraId="299F8AEC" w14:textId="77777777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B7D3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8DB4EA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C351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6131A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科目调整次数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1017A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/>
                <w:sz w:val="13"/>
                <w:szCs w:val="13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10D940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8B929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DAB413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C7336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97ECB" w14:paraId="01FCC157" w14:textId="77777777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F316A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4C65A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3195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A99F5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严格按时间进度执行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EACF3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/>
                <w:sz w:val="13"/>
                <w:szCs w:val="13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C231ED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AF00E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211F62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11916" w14:textId="6E55CEF8" w:rsidR="00B97ECB" w:rsidRDefault="00127DF1" w:rsidP="00127DF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因合同签订时间原因，</w:t>
            </w:r>
            <w:r w:rsidR="00D622B4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造成</w:t>
            </w: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部分经费在年底前</w:t>
            </w:r>
            <w:r w:rsidR="002B07F5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才</w:t>
            </w:r>
            <w:bookmarkStart w:id="0" w:name="_GoBack"/>
            <w:bookmarkEnd w:id="0"/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支出</w:t>
            </w:r>
          </w:p>
        </w:tc>
      </w:tr>
      <w:tr w:rsidR="00B97ECB" w14:paraId="4BBCC585" w14:textId="77777777">
        <w:trPr>
          <w:trHeight w:val="220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8758" w14:textId="77777777" w:rsidR="00B97ECB" w:rsidRDefault="00B97ECB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28B7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成本指标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E624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6665" w14:textId="77777777" w:rsidR="00B97ECB" w:rsidRDefault="002A448D">
            <w:pPr>
              <w:jc w:val="center"/>
              <w:rPr>
                <w:rFonts w:ascii="仿宋_GB2312" w:eastAsia="仿宋_GB2312" w:hAnsi="宋体" w:cs="宋体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int="eastAsia"/>
                <w:sz w:val="13"/>
                <w:szCs w:val="13"/>
              </w:rPr>
              <w:t>严格执行预算,禁止超预算支出或无预算支出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DF55" w14:textId="77777777" w:rsidR="00B97ECB" w:rsidRDefault="002A448D">
            <w:pPr>
              <w:jc w:val="center"/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ascii="仿宋_GB2312" w:eastAsia="仿宋_GB2312"/>
                <w:sz w:val="13"/>
                <w:szCs w:val="13"/>
              </w:rPr>
              <w:t>452.84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AE13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426.45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87F0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C130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9581" w14:textId="71837CE3" w:rsidR="00B97ECB" w:rsidRDefault="00127DF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部分经费未支出</w:t>
            </w:r>
          </w:p>
        </w:tc>
      </w:tr>
      <w:tr w:rsidR="00B97ECB" w14:paraId="40E280C5" w14:textId="77777777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4691" w14:textId="77777777" w:rsidR="00B97ECB" w:rsidRDefault="002A44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1441" w14:textId="77777777" w:rsidR="00B97ECB" w:rsidRDefault="00B97E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DDF4" w14:textId="77777777" w:rsidR="00B97ECB" w:rsidRDefault="002A448D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83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D5AD" w14:textId="77777777" w:rsidR="00B97ECB" w:rsidRDefault="00B97ECB">
            <w:pPr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</w:p>
        </w:tc>
      </w:tr>
    </w:tbl>
    <w:p w14:paraId="2854AA91" w14:textId="77777777" w:rsidR="00B97ECB" w:rsidRDefault="00B97ECB">
      <w:pPr>
        <w:rPr>
          <w:sz w:val="13"/>
          <w:szCs w:val="13"/>
        </w:rPr>
      </w:pPr>
    </w:p>
    <w:sectPr w:rsidR="00B97ECB">
      <w:footerReference w:type="even" r:id="rId7"/>
      <w:footerReference w:type="default" r:id="rId8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52362" w14:textId="77777777" w:rsidR="00A8204B" w:rsidRDefault="00A8204B">
      <w:r>
        <w:separator/>
      </w:r>
    </w:p>
  </w:endnote>
  <w:endnote w:type="continuationSeparator" w:id="0">
    <w:p w14:paraId="280BD130" w14:textId="77777777" w:rsidR="00A8204B" w:rsidRDefault="00A8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46F11" w14:textId="77777777" w:rsidR="00B97ECB" w:rsidRDefault="002A448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15</w:t>
    </w:r>
    <w:r>
      <w:fldChar w:fldCharType="end"/>
    </w:r>
  </w:p>
  <w:p w14:paraId="0B765EB9" w14:textId="77777777" w:rsidR="00B97ECB" w:rsidRDefault="00B97EC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783B8" w14:textId="77777777" w:rsidR="00B97ECB" w:rsidRDefault="002A448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2B07F5">
      <w:rPr>
        <w:rStyle w:val="a5"/>
        <w:noProof/>
      </w:rPr>
      <w:t>1</w:t>
    </w:r>
    <w:r>
      <w:fldChar w:fldCharType="end"/>
    </w:r>
  </w:p>
  <w:p w14:paraId="590C9AAF" w14:textId="77777777" w:rsidR="00B97ECB" w:rsidRDefault="00B97E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6435C" w14:textId="77777777" w:rsidR="00A8204B" w:rsidRDefault="00A8204B">
      <w:r>
        <w:separator/>
      </w:r>
    </w:p>
  </w:footnote>
  <w:footnote w:type="continuationSeparator" w:id="0">
    <w:p w14:paraId="702A7913" w14:textId="77777777" w:rsidR="00A8204B" w:rsidRDefault="00A8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revisionView w:inkAnnotation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19"/>
    <w:rsid w:val="00002AD0"/>
    <w:rsid w:val="00012A13"/>
    <w:rsid w:val="00014B5D"/>
    <w:rsid w:val="00030199"/>
    <w:rsid w:val="000C034B"/>
    <w:rsid w:val="000D332C"/>
    <w:rsid w:val="000F5649"/>
    <w:rsid w:val="001078F1"/>
    <w:rsid w:val="00113C19"/>
    <w:rsid w:val="001243FE"/>
    <w:rsid w:val="00127DF1"/>
    <w:rsid w:val="00165737"/>
    <w:rsid w:val="00172B18"/>
    <w:rsid w:val="001957BB"/>
    <w:rsid w:val="001F2633"/>
    <w:rsid w:val="00201EB7"/>
    <w:rsid w:val="00227D8B"/>
    <w:rsid w:val="0024656D"/>
    <w:rsid w:val="00247D79"/>
    <w:rsid w:val="00270FBE"/>
    <w:rsid w:val="0027735D"/>
    <w:rsid w:val="0028200A"/>
    <w:rsid w:val="002A448D"/>
    <w:rsid w:val="002B07F5"/>
    <w:rsid w:val="00310B24"/>
    <w:rsid w:val="00340FF2"/>
    <w:rsid w:val="00351EDC"/>
    <w:rsid w:val="00360F04"/>
    <w:rsid w:val="00387C9C"/>
    <w:rsid w:val="0042658D"/>
    <w:rsid w:val="004823C4"/>
    <w:rsid w:val="004A6DC9"/>
    <w:rsid w:val="004D6B39"/>
    <w:rsid w:val="004F4D54"/>
    <w:rsid w:val="0053369D"/>
    <w:rsid w:val="005870AE"/>
    <w:rsid w:val="00606D85"/>
    <w:rsid w:val="00650933"/>
    <w:rsid w:val="00682E79"/>
    <w:rsid w:val="006A1CD2"/>
    <w:rsid w:val="006B1792"/>
    <w:rsid w:val="006B3162"/>
    <w:rsid w:val="006C4B34"/>
    <w:rsid w:val="006E4644"/>
    <w:rsid w:val="006F7765"/>
    <w:rsid w:val="0070523A"/>
    <w:rsid w:val="007316BA"/>
    <w:rsid w:val="007443A6"/>
    <w:rsid w:val="00775BDB"/>
    <w:rsid w:val="007B3F91"/>
    <w:rsid w:val="007E7A57"/>
    <w:rsid w:val="00831E49"/>
    <w:rsid w:val="008A6A2C"/>
    <w:rsid w:val="008C23C4"/>
    <w:rsid w:val="00906090"/>
    <w:rsid w:val="00961D71"/>
    <w:rsid w:val="00984277"/>
    <w:rsid w:val="00A051E5"/>
    <w:rsid w:val="00A56E5B"/>
    <w:rsid w:val="00A60C35"/>
    <w:rsid w:val="00A8204B"/>
    <w:rsid w:val="00AB56A0"/>
    <w:rsid w:val="00AC5EFA"/>
    <w:rsid w:val="00AD6808"/>
    <w:rsid w:val="00AE0E65"/>
    <w:rsid w:val="00AF1902"/>
    <w:rsid w:val="00B07AB5"/>
    <w:rsid w:val="00B97ECB"/>
    <w:rsid w:val="00BD2BC5"/>
    <w:rsid w:val="00BE7921"/>
    <w:rsid w:val="00BF579F"/>
    <w:rsid w:val="00C244FE"/>
    <w:rsid w:val="00C3542A"/>
    <w:rsid w:val="00C44214"/>
    <w:rsid w:val="00C50FBF"/>
    <w:rsid w:val="00CA0194"/>
    <w:rsid w:val="00CA3B32"/>
    <w:rsid w:val="00CD090E"/>
    <w:rsid w:val="00CD699C"/>
    <w:rsid w:val="00D27A37"/>
    <w:rsid w:val="00D3552E"/>
    <w:rsid w:val="00D622B4"/>
    <w:rsid w:val="00DD7BED"/>
    <w:rsid w:val="00DE15A6"/>
    <w:rsid w:val="00DF08D4"/>
    <w:rsid w:val="00E05E89"/>
    <w:rsid w:val="00E429E6"/>
    <w:rsid w:val="00E45FB0"/>
    <w:rsid w:val="00E53F16"/>
    <w:rsid w:val="00E573B4"/>
    <w:rsid w:val="00E63153"/>
    <w:rsid w:val="00EA31C5"/>
    <w:rsid w:val="00EE1AED"/>
    <w:rsid w:val="00EE1EC6"/>
    <w:rsid w:val="00F84430"/>
    <w:rsid w:val="00FD74BF"/>
    <w:rsid w:val="00FF4FB0"/>
    <w:rsid w:val="5FA422C6"/>
    <w:rsid w:val="61811C66"/>
    <w:rsid w:val="62A2112C"/>
    <w:rsid w:val="630F07D9"/>
    <w:rsid w:val="6AAC5908"/>
    <w:rsid w:val="755D197E"/>
    <w:rsid w:val="7A05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57</cp:revision>
  <cp:lastPrinted>2025-08-21T10:16:00Z</cp:lastPrinted>
  <dcterms:created xsi:type="dcterms:W3CDTF">2024-04-22T02:29:00Z</dcterms:created>
  <dcterms:modified xsi:type="dcterms:W3CDTF">2025-08-25T07:05:00Z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eyJoZGlkIjoiYmM5NTliMjcwNjQ2OGRjMDk5MmM1MDQwOTg1ZGI5N2QifQ==</vt:lpwstr>
  </property>
  <property fmtid="{D5CDD505-2E9C-101B-9397-08002B2CF9AE}" pid="4" name="ICV">
    <vt:lpwstr>CF3839A13F544541AE44B6EF1848CCF9_12</vt:lpwstr>
  </property>
</Properties>
</file>