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05" w:type="dxa"/>
        <w:tblInd w:w="93" w:type="dxa"/>
        <w:tblLayout w:type="autofit"/>
        <w:tblCellMar>
          <w:top w:w="0" w:type="dxa"/>
          <w:left w:w="108" w:type="dxa"/>
          <w:bottom w:w="0" w:type="dxa"/>
          <w:right w:w="108" w:type="dxa"/>
        </w:tblCellMar>
      </w:tblPr>
      <w:tblGrid>
        <w:gridCol w:w="1455"/>
        <w:gridCol w:w="945"/>
        <w:gridCol w:w="1726"/>
        <w:gridCol w:w="1079"/>
        <w:gridCol w:w="1290"/>
        <w:gridCol w:w="1290"/>
        <w:gridCol w:w="1290"/>
        <w:gridCol w:w="1290"/>
        <w:gridCol w:w="390"/>
        <w:gridCol w:w="390"/>
        <w:gridCol w:w="390"/>
        <w:gridCol w:w="390"/>
        <w:gridCol w:w="1290"/>
        <w:gridCol w:w="1290"/>
      </w:tblGrid>
      <w:tr w14:paraId="4384AA59">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380ACB04">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C54139C">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56EA3C02">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 xml:space="preserve">  （202</w:t>
            </w:r>
            <w:r>
              <w:rPr>
                <w:rFonts w:hint="eastAsia" w:ascii="仿宋_GB2312" w:hAnsi="宋体" w:eastAsia="仿宋_GB2312" w:cs="仿宋_GB2312"/>
                <w:color w:val="000000"/>
                <w:kern w:val="0"/>
                <w:sz w:val="28"/>
                <w:szCs w:val="28"/>
                <w:lang w:val="en-US" w:eastAsia="zh-CN"/>
              </w:rPr>
              <w:t>4</w:t>
            </w:r>
            <w:r>
              <w:rPr>
                <w:rFonts w:hint="eastAsia" w:ascii="仿宋_GB2312" w:hAnsi="宋体" w:eastAsia="仿宋_GB2312" w:cs="仿宋_GB2312"/>
                <w:color w:val="000000"/>
                <w:kern w:val="0"/>
                <w:sz w:val="28"/>
                <w:szCs w:val="28"/>
              </w:rPr>
              <w:t>年度）</w:t>
            </w:r>
          </w:p>
        </w:tc>
      </w:tr>
      <w:tr w14:paraId="18C5633E">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32F8E1C4">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302FB2D9">
            <w:pPr>
              <w:spacing w:line="240" w:lineRule="exact"/>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 xml:space="preserve">                        统战理论研究基地项目经费</w:t>
            </w:r>
          </w:p>
        </w:tc>
      </w:tr>
      <w:tr w14:paraId="33C0FC9C">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4DB334F4">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6A586F54">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0A9643D">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275BFC9E">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r>
      <w:tr w14:paraId="014DAA42">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3AEB2DF">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项目资金</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55A6FDF4">
            <w:pPr>
              <w:spacing w:line="240" w:lineRule="exact"/>
              <w:jc w:val="center"/>
              <w:rPr>
                <w:rFonts w:ascii="仿宋_GB2312" w:hAnsi="宋体" w:eastAsia="仿宋_GB2312" w:cs="仿宋_GB2312"/>
                <w:color w:val="000000"/>
                <w:sz w:val="15"/>
                <w:szCs w:val="15"/>
              </w:rPr>
            </w:pPr>
          </w:p>
        </w:tc>
        <w:tc>
          <w:tcPr>
            <w:tcW w:w="1290" w:type="dxa"/>
            <w:tcBorders>
              <w:top w:val="single" w:color="000000" w:sz="4" w:space="0"/>
              <w:left w:val="single" w:color="000000" w:sz="4" w:space="0"/>
              <w:bottom w:val="nil"/>
              <w:right w:val="single" w:color="000000" w:sz="4" w:space="0"/>
            </w:tcBorders>
            <w:vAlign w:val="center"/>
          </w:tcPr>
          <w:p w14:paraId="15C95E23">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2573A01">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D94B082">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A800840">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E3AAA8A">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65634D4D">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得分</w:t>
            </w:r>
          </w:p>
        </w:tc>
      </w:tr>
      <w:tr w14:paraId="623F1D46">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FE545E">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732E28BF">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569885CC">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3A793C7">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62C24AE">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3.9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D1DEE78">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1D2D95B">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lang w:val="en-US" w:eastAsia="zh-CN"/>
              </w:rPr>
              <w:t>39</w:t>
            </w:r>
            <w:r>
              <w:rPr>
                <w:rFonts w:hint="eastAsia" w:ascii="仿宋_GB2312" w:hAnsi="宋体" w:eastAsia="仿宋_GB2312" w:cs="仿宋_GB2312"/>
                <w:color w:val="000000"/>
                <w:sz w:val="15"/>
                <w:szCs w:val="15"/>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0EC14E49">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4</w:t>
            </w:r>
          </w:p>
        </w:tc>
      </w:tr>
      <w:tr w14:paraId="5955512C">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759404">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F515DE4">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0D0C20E7">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BD74070">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4B8667F">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3.9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099FAFE">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A41C206">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lang w:val="en-US" w:eastAsia="zh-CN"/>
              </w:rPr>
              <w:t>39</w:t>
            </w:r>
            <w:r>
              <w:rPr>
                <w:rFonts w:hint="eastAsia" w:ascii="仿宋_GB2312" w:hAnsi="宋体" w:eastAsia="仿宋_GB2312" w:cs="仿宋_GB2312"/>
                <w:color w:val="000000"/>
                <w:sz w:val="15"/>
                <w:szCs w:val="15"/>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0600F2CE">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060C0F4D">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5F05FC">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F8CDDCA">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2F7A5B2A">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7216A70">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5D33740">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177A860">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EC3C9FA">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14:paraId="5A85E39C">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7EE2508B">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BF79A4">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9496D89">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37C714A9">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4017BF7">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23ED4A5">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94A7C98">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BCC13BF">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14:paraId="42B36D98">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14:paraId="64594944">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350BAA7F">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5127D19A">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038BF3FA">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实际完成情况</w:t>
            </w:r>
          </w:p>
        </w:tc>
      </w:tr>
      <w:tr w14:paraId="267B30CB">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E5B95DC">
            <w:pPr>
              <w:spacing w:line="240" w:lineRule="exact"/>
              <w:jc w:val="center"/>
              <w:rPr>
                <w:rFonts w:ascii="仿宋_GB2312" w:hAnsi="宋体" w:eastAsia="仿宋_GB2312" w:cs="仿宋_GB2312"/>
                <w:color w:val="000000"/>
                <w:sz w:val="15"/>
                <w:szCs w:val="15"/>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0307C0CB">
            <w:pPr>
              <w:spacing w:line="240" w:lineRule="exact"/>
              <w:jc w:val="left"/>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全面贯彻落实中央统战部“调研立部”精神以及市委关于加大调研工作力度的指示精神，切实发挥基地作用，突出问题导向，聚焦研究重点，推动形成一批具有较高质量的统战理论政策研究和党外人士参政议政调研成果，为推动全市中心工作和统战事业创新发展提供有力支撑。。</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4CC01EFD">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基本完成了年度总体目标</w:t>
            </w:r>
          </w:p>
        </w:tc>
      </w:tr>
      <w:tr w14:paraId="1D3EC86D">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207B77A2">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6D959797">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一级指标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6978EB9D">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二级指标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4865596E">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6D60DDB1">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6592CFE6">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89ABBC2">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0DD0268">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FC1E76D">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偏差原因分析及改进措施</w:t>
            </w:r>
          </w:p>
        </w:tc>
      </w:tr>
      <w:tr w14:paraId="3E8EF98A">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7D3C54E">
            <w:pPr>
              <w:spacing w:line="240" w:lineRule="exact"/>
              <w:jc w:val="center"/>
              <w:rPr>
                <w:rFonts w:ascii="仿宋_GB2312" w:hAnsi="宋体" w:eastAsia="仿宋_GB2312" w:cs="仿宋_GB2312"/>
                <w:color w:val="000000"/>
                <w:sz w:val="15"/>
                <w:szCs w:val="15"/>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72D66243">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产出指标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5F4CFEE1">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数量指标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4E3DC45F">
            <w:pPr>
              <w:spacing w:line="240" w:lineRule="exact"/>
              <w:jc w:val="left"/>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中央统战部《调研参考》刊登我市调研报告，《统战工作》刊登实践成果，为各级决策提供了有益参考。</w:t>
            </w:r>
          </w:p>
        </w:tc>
        <w:tc>
          <w:tcPr>
            <w:tcW w:w="1290" w:type="dxa"/>
            <w:tcBorders>
              <w:top w:val="single" w:color="000000" w:sz="4" w:space="0"/>
              <w:left w:val="single" w:color="000000" w:sz="4" w:space="0"/>
              <w:bottom w:val="single" w:color="000000" w:sz="4" w:space="0"/>
              <w:right w:val="single" w:color="000000" w:sz="4" w:space="0"/>
            </w:tcBorders>
            <w:vAlign w:val="center"/>
          </w:tcPr>
          <w:p w14:paraId="4763A36D">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1290" w:type="dxa"/>
            <w:tcBorders>
              <w:top w:val="single" w:color="000000" w:sz="4" w:space="0"/>
              <w:left w:val="single" w:color="000000" w:sz="4" w:space="0"/>
              <w:bottom w:val="single" w:color="000000" w:sz="4" w:space="0"/>
              <w:right w:val="single" w:color="000000" w:sz="4" w:space="0"/>
            </w:tcBorders>
            <w:vAlign w:val="center"/>
          </w:tcPr>
          <w:p w14:paraId="6167E435">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BB119AE">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986A29F">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ED022A5">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需提高调研成果质量</w:t>
            </w:r>
          </w:p>
        </w:tc>
      </w:tr>
      <w:tr w14:paraId="45278432">
        <w:tblPrEx>
          <w:tblCellMar>
            <w:top w:w="0" w:type="dxa"/>
            <w:left w:w="108" w:type="dxa"/>
            <w:bottom w:w="0" w:type="dxa"/>
            <w:right w:w="108" w:type="dxa"/>
          </w:tblCellMar>
        </w:tblPrEx>
        <w:trPr>
          <w:trHeight w:val="707"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8D1085B">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FAE8906">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2A8CFBF4">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质量指标</w:t>
            </w:r>
          </w:p>
        </w:tc>
        <w:tc>
          <w:tcPr>
            <w:tcW w:w="3659" w:type="dxa"/>
            <w:gridSpan w:val="3"/>
            <w:tcBorders>
              <w:top w:val="single" w:color="000000" w:sz="4" w:space="0"/>
              <w:left w:val="single" w:color="000000" w:sz="4" w:space="0"/>
              <w:right w:val="single" w:color="000000" w:sz="4" w:space="0"/>
            </w:tcBorders>
            <w:vAlign w:val="center"/>
          </w:tcPr>
          <w:p w14:paraId="40D7D52A">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全年任务保质保量完成</w:t>
            </w:r>
          </w:p>
        </w:tc>
        <w:tc>
          <w:tcPr>
            <w:tcW w:w="1290" w:type="dxa"/>
            <w:tcBorders>
              <w:top w:val="single" w:color="000000" w:sz="4" w:space="0"/>
              <w:left w:val="single" w:color="000000" w:sz="4" w:space="0"/>
              <w:right w:val="single" w:color="000000" w:sz="4" w:space="0"/>
            </w:tcBorders>
            <w:vAlign w:val="center"/>
          </w:tcPr>
          <w:p w14:paraId="15B52774">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1290" w:type="dxa"/>
            <w:tcBorders>
              <w:top w:val="single" w:color="000000" w:sz="4" w:space="0"/>
              <w:left w:val="single" w:color="000000" w:sz="4" w:space="0"/>
              <w:right w:val="single" w:color="000000" w:sz="4" w:space="0"/>
            </w:tcBorders>
            <w:vAlign w:val="center"/>
          </w:tcPr>
          <w:p w14:paraId="0DA39F7C">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13</w:t>
            </w:r>
          </w:p>
        </w:tc>
        <w:tc>
          <w:tcPr>
            <w:tcW w:w="780" w:type="dxa"/>
            <w:gridSpan w:val="2"/>
            <w:tcBorders>
              <w:top w:val="single" w:color="000000" w:sz="4" w:space="0"/>
              <w:left w:val="single" w:color="000000" w:sz="4" w:space="0"/>
              <w:right w:val="single" w:color="000000" w:sz="4" w:space="0"/>
            </w:tcBorders>
            <w:vAlign w:val="center"/>
          </w:tcPr>
          <w:p w14:paraId="16959D33">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right w:val="single" w:color="000000" w:sz="4" w:space="0"/>
            </w:tcBorders>
            <w:vAlign w:val="center"/>
          </w:tcPr>
          <w:p w14:paraId="70C812B7">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13</w:t>
            </w:r>
          </w:p>
        </w:tc>
        <w:tc>
          <w:tcPr>
            <w:tcW w:w="2580" w:type="dxa"/>
            <w:gridSpan w:val="2"/>
            <w:tcBorders>
              <w:top w:val="single" w:color="000000" w:sz="4" w:space="0"/>
              <w:left w:val="single" w:color="000000" w:sz="4" w:space="0"/>
              <w:right w:val="single" w:color="000000" w:sz="4" w:space="0"/>
            </w:tcBorders>
            <w:vAlign w:val="center"/>
          </w:tcPr>
          <w:p w14:paraId="1C7FD423">
            <w:pPr>
              <w:spacing w:line="240" w:lineRule="exact"/>
              <w:jc w:val="center"/>
              <w:rPr>
                <w:rFonts w:hint="eastAsia"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需按全年工作计划保质保量完成任务</w:t>
            </w:r>
          </w:p>
        </w:tc>
      </w:tr>
      <w:tr w14:paraId="3963754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FB5ADD5">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4BFCF20">
            <w:pPr>
              <w:spacing w:line="240" w:lineRule="exact"/>
              <w:jc w:val="center"/>
              <w:rPr>
                <w:rFonts w:ascii="仿宋_GB2312" w:hAnsi="宋体" w:eastAsia="仿宋_GB2312" w:cs="仿宋_GB2312"/>
                <w:color w:val="000000"/>
                <w:sz w:val="15"/>
                <w:szCs w:val="15"/>
              </w:rPr>
            </w:pPr>
          </w:p>
        </w:tc>
        <w:tc>
          <w:tcPr>
            <w:tcW w:w="1726" w:type="dxa"/>
            <w:vMerge w:val="restart"/>
            <w:tcBorders>
              <w:top w:val="single" w:color="000000" w:sz="4" w:space="0"/>
              <w:left w:val="single" w:color="000000" w:sz="4" w:space="0"/>
              <w:bottom w:val="single" w:color="000000" w:sz="4" w:space="0"/>
              <w:right w:val="single" w:color="000000" w:sz="4" w:space="0"/>
            </w:tcBorders>
            <w:vAlign w:val="center"/>
          </w:tcPr>
          <w:p w14:paraId="56044743">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时效指标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38155262">
            <w:pPr>
              <w:widowControl/>
              <w:spacing w:line="240" w:lineRule="exact"/>
              <w:jc w:val="left"/>
              <w:textAlignment w:val="center"/>
              <w:rPr>
                <w:rFonts w:ascii="仿宋_GB2312" w:hAnsi="宋体" w:eastAsia="仿宋_GB2312" w:cs="仿宋_GB2312"/>
                <w:sz w:val="15"/>
                <w:szCs w:val="15"/>
              </w:rPr>
            </w:pPr>
            <w:r>
              <w:rPr>
                <w:rFonts w:hint="eastAsia" w:ascii="仿宋_GB2312" w:hAnsi="宋体" w:eastAsia="仿宋_GB2312" w:cs="仿宋_GB2312"/>
                <w:sz w:val="15"/>
                <w:szCs w:val="15"/>
              </w:rPr>
              <w:t>按照预算批复，完成全年收支指标及工作任务</w:t>
            </w:r>
          </w:p>
        </w:tc>
        <w:tc>
          <w:tcPr>
            <w:tcW w:w="1290" w:type="dxa"/>
            <w:tcBorders>
              <w:top w:val="single" w:color="000000" w:sz="4" w:space="0"/>
              <w:left w:val="single" w:color="000000" w:sz="4" w:space="0"/>
              <w:bottom w:val="single" w:color="000000" w:sz="4" w:space="0"/>
              <w:right w:val="single" w:color="000000" w:sz="4" w:space="0"/>
            </w:tcBorders>
            <w:vAlign w:val="center"/>
          </w:tcPr>
          <w:p w14:paraId="775A4151">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0594B409">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3</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A2CA9EA">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8674610">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3</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FC2E66F">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需进一步提高预算执行率</w:t>
            </w:r>
          </w:p>
        </w:tc>
      </w:tr>
      <w:tr w14:paraId="5794C663">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F9AC952">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auto" w:sz="4" w:space="0"/>
              <w:right w:val="single" w:color="000000" w:sz="4" w:space="0"/>
            </w:tcBorders>
            <w:vAlign w:val="center"/>
          </w:tcPr>
          <w:p w14:paraId="7309A4AC">
            <w:pPr>
              <w:spacing w:line="240" w:lineRule="exact"/>
              <w:jc w:val="center"/>
              <w:rPr>
                <w:rFonts w:ascii="仿宋_GB2312" w:hAnsi="宋体" w:eastAsia="仿宋_GB2312" w:cs="仿宋_GB2312"/>
                <w:color w:val="000000"/>
                <w:sz w:val="15"/>
                <w:szCs w:val="15"/>
              </w:rPr>
            </w:pPr>
          </w:p>
        </w:tc>
        <w:tc>
          <w:tcPr>
            <w:tcW w:w="1726" w:type="dxa"/>
            <w:vMerge w:val="continue"/>
            <w:tcBorders>
              <w:top w:val="single" w:color="000000" w:sz="4" w:space="0"/>
              <w:left w:val="single" w:color="000000" w:sz="4" w:space="0"/>
              <w:bottom w:val="single" w:color="000000" w:sz="4" w:space="0"/>
              <w:right w:val="single" w:color="000000" w:sz="4" w:space="0"/>
            </w:tcBorders>
            <w:vAlign w:val="center"/>
          </w:tcPr>
          <w:p w14:paraId="3147D5A6">
            <w:pPr>
              <w:spacing w:line="240" w:lineRule="exact"/>
              <w:jc w:val="center"/>
              <w:rPr>
                <w:rFonts w:ascii="仿宋_GB2312" w:hAnsi="宋体" w:eastAsia="仿宋_GB2312" w:cs="仿宋_GB2312"/>
                <w:color w:val="000000"/>
                <w:sz w:val="15"/>
                <w:szCs w:val="15"/>
              </w:rPr>
            </w:pP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66FFB2D2">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保证项目资金及时足额支付</w:t>
            </w:r>
          </w:p>
        </w:tc>
        <w:tc>
          <w:tcPr>
            <w:tcW w:w="1290" w:type="dxa"/>
            <w:tcBorders>
              <w:top w:val="single" w:color="000000" w:sz="4" w:space="0"/>
              <w:left w:val="single" w:color="000000" w:sz="4" w:space="0"/>
              <w:bottom w:val="single" w:color="000000" w:sz="4" w:space="0"/>
              <w:right w:val="single" w:color="000000" w:sz="4" w:space="0"/>
            </w:tcBorders>
            <w:vAlign w:val="center"/>
          </w:tcPr>
          <w:p w14:paraId="2513D354">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34B0F51B">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EE3A836">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FBFDB58">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1C7517D">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需进一步增强资金支付的及时性</w:t>
            </w:r>
          </w:p>
        </w:tc>
      </w:tr>
      <w:tr w14:paraId="343965C7">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781F062">
            <w:pPr>
              <w:spacing w:line="240" w:lineRule="exact"/>
              <w:jc w:val="center"/>
              <w:rPr>
                <w:rFonts w:ascii="仿宋_GB2312" w:hAnsi="宋体" w:eastAsia="仿宋_GB2312" w:cs="仿宋_GB2312"/>
                <w:color w:val="000000"/>
                <w:sz w:val="15"/>
                <w:szCs w:val="15"/>
              </w:rPr>
            </w:pPr>
          </w:p>
        </w:tc>
        <w:tc>
          <w:tcPr>
            <w:tcW w:w="945" w:type="dxa"/>
            <w:tcBorders>
              <w:top w:val="single" w:color="auto" w:sz="4" w:space="0"/>
              <w:left w:val="single" w:color="000000" w:sz="4" w:space="0"/>
              <w:bottom w:val="single" w:color="auto" w:sz="4" w:space="0"/>
              <w:right w:val="single" w:color="000000" w:sz="4" w:space="0"/>
            </w:tcBorders>
            <w:vAlign w:val="center"/>
          </w:tcPr>
          <w:p w14:paraId="68BF8228">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成本指标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3EB5382A">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成本指标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62D44E61">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严格按照要求编制预算，严格执行预算，少花钱多办事，严格控制实施成本</w:t>
            </w:r>
          </w:p>
        </w:tc>
        <w:tc>
          <w:tcPr>
            <w:tcW w:w="1290" w:type="dxa"/>
            <w:tcBorders>
              <w:top w:val="single" w:color="000000" w:sz="4" w:space="0"/>
              <w:left w:val="single" w:color="000000" w:sz="4" w:space="0"/>
              <w:bottom w:val="single" w:color="000000" w:sz="4" w:space="0"/>
              <w:right w:val="single" w:color="000000" w:sz="4" w:space="0"/>
            </w:tcBorders>
            <w:vAlign w:val="center"/>
          </w:tcPr>
          <w:p w14:paraId="500E3161">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24FD0E89">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5E6E20B">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0FE7DD2">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8A0A251">
            <w:pPr>
              <w:spacing w:line="240" w:lineRule="exact"/>
              <w:jc w:val="center"/>
              <w:rPr>
                <w:rFonts w:ascii="仿宋_GB2312" w:hAnsi="宋体" w:eastAsia="仿宋_GB2312" w:cs="仿宋_GB2312"/>
                <w:color w:val="000000"/>
                <w:sz w:val="15"/>
                <w:szCs w:val="15"/>
              </w:rPr>
            </w:pPr>
          </w:p>
        </w:tc>
      </w:tr>
      <w:tr w14:paraId="5852AD2B">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34B9B75">
            <w:pPr>
              <w:spacing w:line="240" w:lineRule="exact"/>
              <w:jc w:val="center"/>
              <w:rPr>
                <w:rFonts w:ascii="仿宋_GB2312" w:hAnsi="宋体" w:eastAsia="仿宋_GB2312" w:cs="仿宋_GB2312"/>
                <w:color w:val="000000"/>
                <w:sz w:val="15"/>
                <w:szCs w:val="15"/>
              </w:rPr>
            </w:pPr>
          </w:p>
        </w:tc>
        <w:tc>
          <w:tcPr>
            <w:tcW w:w="945" w:type="dxa"/>
            <w:vMerge w:val="restart"/>
            <w:tcBorders>
              <w:top w:val="single" w:color="auto" w:sz="4" w:space="0"/>
              <w:left w:val="single" w:color="000000" w:sz="4" w:space="0"/>
              <w:bottom w:val="single" w:color="000000" w:sz="4" w:space="0"/>
              <w:right w:val="single" w:color="000000" w:sz="4" w:space="0"/>
            </w:tcBorders>
            <w:vAlign w:val="center"/>
          </w:tcPr>
          <w:p w14:paraId="3813963D">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 xml:space="preserve">效益指标 </w:t>
            </w:r>
          </w:p>
        </w:tc>
        <w:tc>
          <w:tcPr>
            <w:tcW w:w="1726" w:type="dxa"/>
            <w:vMerge w:val="restart"/>
            <w:tcBorders>
              <w:top w:val="single" w:color="000000" w:sz="4" w:space="0"/>
              <w:left w:val="single" w:color="000000" w:sz="4" w:space="0"/>
              <w:bottom w:val="single" w:color="000000" w:sz="4" w:space="0"/>
              <w:right w:val="single" w:color="000000" w:sz="4" w:space="0"/>
            </w:tcBorders>
            <w:vAlign w:val="center"/>
          </w:tcPr>
          <w:p w14:paraId="77B94331">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社会效益指标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05E989DF">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加强对研究成果的转化吸收利用，推进统一战线理论创新和实践发展</w:t>
            </w:r>
          </w:p>
        </w:tc>
        <w:tc>
          <w:tcPr>
            <w:tcW w:w="1290" w:type="dxa"/>
            <w:tcBorders>
              <w:top w:val="single" w:color="000000" w:sz="4" w:space="0"/>
              <w:left w:val="single" w:color="000000" w:sz="4" w:space="0"/>
              <w:bottom w:val="single" w:color="000000" w:sz="4" w:space="0"/>
              <w:right w:val="single" w:color="000000" w:sz="4" w:space="0"/>
            </w:tcBorders>
            <w:vAlign w:val="center"/>
          </w:tcPr>
          <w:p w14:paraId="6441280F">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1290" w:type="dxa"/>
            <w:tcBorders>
              <w:top w:val="single" w:color="000000" w:sz="4" w:space="0"/>
              <w:left w:val="single" w:color="000000" w:sz="4" w:space="0"/>
              <w:bottom w:val="single" w:color="000000" w:sz="4" w:space="0"/>
              <w:right w:val="single" w:color="000000" w:sz="4" w:space="0"/>
            </w:tcBorders>
            <w:vAlign w:val="center"/>
          </w:tcPr>
          <w:p w14:paraId="6F902BE2">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13</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1A7CB46">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8A35E31">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13</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1934B04">
            <w:pPr>
              <w:spacing w:line="240" w:lineRule="exact"/>
              <w:jc w:val="center"/>
              <w:rPr>
                <w:rFonts w:hint="eastAsia"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需提高研究成果的转化吸收利用</w:t>
            </w:r>
          </w:p>
        </w:tc>
      </w:tr>
      <w:tr w14:paraId="13DA984A">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31D79C6">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41D6E87D">
            <w:pPr>
              <w:spacing w:line="240" w:lineRule="exact"/>
              <w:jc w:val="center"/>
              <w:rPr>
                <w:rFonts w:ascii="仿宋_GB2312" w:hAnsi="宋体" w:eastAsia="仿宋_GB2312" w:cs="仿宋_GB2312"/>
                <w:color w:val="000000"/>
                <w:sz w:val="15"/>
                <w:szCs w:val="15"/>
              </w:rPr>
            </w:pPr>
          </w:p>
        </w:tc>
        <w:tc>
          <w:tcPr>
            <w:tcW w:w="1726" w:type="dxa"/>
            <w:vMerge w:val="continue"/>
            <w:tcBorders>
              <w:top w:val="single" w:color="000000" w:sz="4" w:space="0"/>
              <w:left w:val="single" w:color="000000" w:sz="4" w:space="0"/>
              <w:bottom w:val="single" w:color="000000" w:sz="4" w:space="0"/>
              <w:right w:val="single" w:color="000000" w:sz="4" w:space="0"/>
            </w:tcBorders>
            <w:vAlign w:val="center"/>
          </w:tcPr>
          <w:p w14:paraId="034BF8BC">
            <w:pPr>
              <w:spacing w:line="240" w:lineRule="exact"/>
              <w:jc w:val="center"/>
              <w:rPr>
                <w:rFonts w:ascii="仿宋_GB2312" w:hAnsi="宋体" w:eastAsia="仿宋_GB2312" w:cs="仿宋_GB2312"/>
                <w:color w:val="000000"/>
                <w:sz w:val="15"/>
                <w:szCs w:val="15"/>
              </w:rPr>
            </w:pP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25B5BE23">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为提高首都统一战线工作水平打下坚实基础</w:t>
            </w:r>
          </w:p>
        </w:tc>
        <w:tc>
          <w:tcPr>
            <w:tcW w:w="1290" w:type="dxa"/>
            <w:tcBorders>
              <w:top w:val="single" w:color="000000" w:sz="4" w:space="0"/>
              <w:left w:val="single" w:color="000000" w:sz="4" w:space="0"/>
              <w:bottom w:val="single" w:color="000000" w:sz="4" w:space="0"/>
              <w:right w:val="single" w:color="000000" w:sz="4" w:space="0"/>
            </w:tcBorders>
            <w:vAlign w:val="center"/>
          </w:tcPr>
          <w:p w14:paraId="770D9925">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0E1381D4">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6032064">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E8208C0">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C0DECF4">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eastAsia="zh-CN"/>
              </w:rPr>
              <w:t>需进一步提高社会效益，服务统一战线工作</w:t>
            </w:r>
          </w:p>
        </w:tc>
      </w:tr>
      <w:tr w14:paraId="30334855">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BB4F8BF">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0C49C8B9">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7BC5E243">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可持续影响指标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254A1DEF">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形成一批高质量的调研成果，为中央和市委决策提供参考，推动首都统战事业创新发展</w:t>
            </w:r>
          </w:p>
        </w:tc>
        <w:tc>
          <w:tcPr>
            <w:tcW w:w="1290" w:type="dxa"/>
            <w:tcBorders>
              <w:top w:val="single" w:color="000000" w:sz="4" w:space="0"/>
              <w:left w:val="single" w:color="000000" w:sz="4" w:space="0"/>
              <w:bottom w:val="single" w:color="000000" w:sz="4" w:space="0"/>
              <w:right w:val="single" w:color="000000" w:sz="4" w:space="0"/>
            </w:tcBorders>
            <w:vAlign w:val="center"/>
          </w:tcPr>
          <w:p w14:paraId="5DC75288">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24DD0D36">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CCF865E">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8B8B301">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961D526">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eastAsia="zh-CN"/>
              </w:rPr>
              <w:t>需进一步提高可持续影响</w:t>
            </w:r>
          </w:p>
        </w:tc>
      </w:tr>
      <w:tr w14:paraId="1B25085E">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C615939">
            <w:pPr>
              <w:spacing w:line="240" w:lineRule="exact"/>
              <w:jc w:val="center"/>
              <w:rPr>
                <w:rFonts w:ascii="仿宋_GB2312" w:hAnsi="宋体" w:eastAsia="仿宋_GB2312" w:cs="仿宋_GB2312"/>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421F1DC">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满意度指标</w:t>
            </w:r>
          </w:p>
        </w:tc>
        <w:tc>
          <w:tcPr>
            <w:tcW w:w="1726" w:type="dxa"/>
            <w:tcBorders>
              <w:top w:val="single" w:color="000000" w:sz="4" w:space="0"/>
              <w:left w:val="single" w:color="000000" w:sz="4" w:space="0"/>
              <w:bottom w:val="single" w:color="000000" w:sz="4" w:space="0"/>
              <w:right w:val="single" w:color="000000" w:sz="4" w:space="0"/>
            </w:tcBorders>
            <w:vAlign w:val="center"/>
          </w:tcPr>
          <w:p w14:paraId="67C5752F">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服务对象满意度标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14:paraId="64A404CC">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受众满意度、合作单位满意度</w:t>
            </w:r>
          </w:p>
        </w:tc>
        <w:tc>
          <w:tcPr>
            <w:tcW w:w="1290" w:type="dxa"/>
            <w:tcBorders>
              <w:top w:val="single" w:color="000000" w:sz="4" w:space="0"/>
              <w:left w:val="single" w:color="000000" w:sz="4" w:space="0"/>
              <w:bottom w:val="single" w:color="000000" w:sz="4" w:space="0"/>
              <w:right w:val="single" w:color="000000" w:sz="4" w:space="0"/>
            </w:tcBorders>
            <w:vAlign w:val="center"/>
          </w:tcPr>
          <w:p w14:paraId="74DD0259">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1B155B26">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AA9F5C7">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182DBE9">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0B69742">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eastAsia="zh-CN"/>
              </w:rPr>
              <w:t>需进一步提高服务对象满意度</w:t>
            </w:r>
            <w:bookmarkStart w:id="0" w:name="_GoBack"/>
            <w:bookmarkEnd w:id="0"/>
          </w:p>
        </w:tc>
      </w:tr>
      <w:tr w14:paraId="20624B2B">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726E52A2">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5E062EE">
            <w:pPr>
              <w:widowControl/>
              <w:spacing w:line="240" w:lineRule="exact"/>
              <w:jc w:val="center"/>
              <w:textAlignment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90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3F6305E">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79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7525913">
            <w:pPr>
              <w:spacing w:line="240" w:lineRule="exact"/>
              <w:jc w:val="center"/>
              <w:rPr>
                <w:rFonts w:ascii="宋体" w:hAnsi="宋体" w:eastAsia="宋体" w:cs="宋体"/>
                <w:color w:val="000000"/>
                <w:sz w:val="15"/>
                <w:szCs w:val="15"/>
              </w:rPr>
            </w:pPr>
          </w:p>
        </w:tc>
      </w:tr>
    </w:tbl>
    <w:p w14:paraId="58C7994A">
      <w:pPr>
        <w:spacing w:line="240" w:lineRule="exact"/>
        <w:rPr>
          <w:sz w:val="15"/>
          <w:szCs w:val="15"/>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B942">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75289F1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3B2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14:paraId="6F89AC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3C19"/>
    <w:rsid w:val="000C034B"/>
    <w:rsid w:val="00113C19"/>
    <w:rsid w:val="00116E02"/>
    <w:rsid w:val="001B200E"/>
    <w:rsid w:val="00227D8B"/>
    <w:rsid w:val="00230528"/>
    <w:rsid w:val="00270FBE"/>
    <w:rsid w:val="0028200A"/>
    <w:rsid w:val="00364E8B"/>
    <w:rsid w:val="00394DB9"/>
    <w:rsid w:val="00453B78"/>
    <w:rsid w:val="00550CC5"/>
    <w:rsid w:val="005870AE"/>
    <w:rsid w:val="00650933"/>
    <w:rsid w:val="006E4644"/>
    <w:rsid w:val="0070523A"/>
    <w:rsid w:val="007443A6"/>
    <w:rsid w:val="008810FF"/>
    <w:rsid w:val="008E07DE"/>
    <w:rsid w:val="00906090"/>
    <w:rsid w:val="00922042"/>
    <w:rsid w:val="009373E9"/>
    <w:rsid w:val="00941DD4"/>
    <w:rsid w:val="00977042"/>
    <w:rsid w:val="00AD6808"/>
    <w:rsid w:val="00AF1902"/>
    <w:rsid w:val="00B05C9A"/>
    <w:rsid w:val="00BF579F"/>
    <w:rsid w:val="00C84513"/>
    <w:rsid w:val="00CA0194"/>
    <w:rsid w:val="00D71BD9"/>
    <w:rsid w:val="00DF08D4"/>
    <w:rsid w:val="00DF6A14"/>
    <w:rsid w:val="00E4489E"/>
    <w:rsid w:val="00E45FB0"/>
    <w:rsid w:val="00E77242"/>
    <w:rsid w:val="00E95D9F"/>
    <w:rsid w:val="00EF6BE5"/>
    <w:rsid w:val="00F104F6"/>
    <w:rsid w:val="00F71990"/>
    <w:rsid w:val="071E4543"/>
    <w:rsid w:val="341C3E0E"/>
    <w:rsid w:val="344B0362"/>
    <w:rsid w:val="69ED7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641</Words>
  <Characters>679</Characters>
  <Lines>6</Lines>
  <Paragraphs>1</Paragraphs>
  <TotalTime>199</TotalTime>
  <ScaleCrop>false</ScaleCrop>
  <LinksUpToDate>false</LinksUpToDate>
  <CharactersWithSpaces>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2022-06-07T02:27:00Z</dcterms:created>
  <dc:creator>DELL</dc:creator>
  <cp:lastModifiedBy>Administrator</cp:lastModifiedBy>
  <cp:lastPrinted>2025-08-21T10:03:00Z</cp:lastPrinted>
  <dcterms:modified xsi:type="dcterms:W3CDTF">2025-08-25T08:05:18Z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eyJoZGlkIjoiYmM5NTliMjcwNjQ2OGRjMDk5MmM1MDQwOTg1ZGI5N2QifQ==</vt:lpwstr>
  </property>
  <property fmtid="{D5CDD505-2E9C-101B-9397-08002B2CF9AE}" pid="3" name="KSOProductBuildVer">
    <vt:lpwstr>2052-12.1.0.22529</vt:lpwstr>
  </property>
  <property fmtid="{D5CDD505-2E9C-101B-9397-08002B2CF9AE}" pid="4" name="ICV">
    <vt:lpwstr>0D420FA1DDCF4EEB9B62AD545D14C1BD_12</vt:lpwstr>
  </property>
</Properties>
</file>