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3C03FE">
      <w:pPr>
        <w:pStyle w:val="3"/>
        <w:keepNext w:val="0"/>
        <w:keepLines w:val="0"/>
        <w:pageBreakBefore/>
        <w:widowControl w:val="0"/>
        <w:kinsoku/>
        <w:wordWrap/>
        <w:overflowPunct/>
        <w:topLinePunct w:val="0"/>
        <w:autoSpaceDE/>
        <w:autoSpaceDN/>
        <w:bidi w:val="0"/>
        <w:adjustRightInd/>
        <w:snapToGrid/>
        <w:spacing w:beforeAutospacing="0" w:afterAutospacing="0" w:line="560" w:lineRule="exact"/>
        <w:ind w:firstLine="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附件</w:t>
      </w:r>
    </w:p>
    <w:p w14:paraId="7B1D3B22">
      <w:pPr>
        <w:spacing w:line="560" w:lineRule="exact"/>
        <w:jc w:val="center"/>
        <w:rPr>
          <w:rFonts w:hint="eastAsia" w:ascii="方正小标宋简体" w:eastAsia="方正小标宋简体"/>
          <w:sz w:val="36"/>
          <w:szCs w:val="36"/>
        </w:rPr>
      </w:pPr>
    </w:p>
    <w:p w14:paraId="5CBF754D">
      <w:pPr>
        <w:spacing w:line="560" w:lineRule="exact"/>
        <w:jc w:val="center"/>
        <w:rPr>
          <w:rFonts w:hint="eastAsia" w:ascii="方正小标宋简体" w:eastAsia="方正小标宋简体"/>
          <w:sz w:val="36"/>
          <w:szCs w:val="36"/>
        </w:rPr>
      </w:pPr>
      <w:r>
        <w:rPr>
          <w:rFonts w:hint="eastAsia" w:ascii="方正小标宋简体" w:eastAsia="方正小标宋简体"/>
          <w:sz w:val="36"/>
          <w:szCs w:val="36"/>
        </w:rPr>
        <w:t>部门整体绩效评价报告</w:t>
      </w:r>
    </w:p>
    <w:p w14:paraId="2794BF94">
      <w:pPr>
        <w:jc w:val="center"/>
        <w:rPr>
          <w:rFonts w:ascii="仿宋_GB2312"/>
          <w:szCs w:val="30"/>
        </w:rPr>
      </w:pPr>
    </w:p>
    <w:p w14:paraId="3D18F771">
      <w:pPr>
        <w:spacing w:line="600" w:lineRule="exact"/>
        <w:ind w:firstLine="640" w:firstLineChars="200"/>
        <w:rPr>
          <w:rFonts w:hint="eastAsia" w:ascii="黑体" w:hAnsi="黑体" w:eastAsia="黑体" w:cs="宋体"/>
          <w:color w:val="000000"/>
          <w:kern w:val="0"/>
          <w:sz w:val="32"/>
          <w:szCs w:val="32"/>
        </w:rPr>
      </w:pPr>
      <w:r>
        <w:rPr>
          <w:rFonts w:hint="eastAsia" w:ascii="黑体" w:hAnsi="黑体" w:eastAsia="黑体" w:cs="宋体"/>
          <w:color w:val="000000"/>
          <w:kern w:val="0"/>
          <w:sz w:val="32"/>
          <w:szCs w:val="32"/>
        </w:rPr>
        <w:t>一、部门概况</w:t>
      </w:r>
    </w:p>
    <w:p w14:paraId="5313842F">
      <w:pPr>
        <w:spacing w:line="578" w:lineRule="exact"/>
        <w:ind w:firstLine="640" w:firstLineChars="200"/>
        <w:rPr>
          <w:rFonts w:hint="eastAsia" w:ascii="楷体_GB2312" w:eastAsia="楷体_GB2312"/>
          <w:sz w:val="32"/>
          <w:szCs w:val="32"/>
        </w:rPr>
      </w:pPr>
      <w:r>
        <w:rPr>
          <w:rFonts w:hint="eastAsia" w:ascii="楷体_GB2312" w:eastAsia="楷体_GB2312"/>
          <w:sz w:val="32"/>
          <w:szCs w:val="32"/>
        </w:rPr>
        <w:t>（一）机构设置及职责工作任务情况</w:t>
      </w:r>
    </w:p>
    <w:p w14:paraId="53A7FF60">
      <w:pPr>
        <w:spacing w:line="578" w:lineRule="exact"/>
        <w:ind w:firstLine="640" w:firstLineChars="200"/>
        <w:rPr>
          <w:rFonts w:hint="eastAsia" w:ascii="仿宋_GB2312" w:hAnsi="宋体" w:eastAsia="仿宋_GB2312" w:cs="宋体"/>
          <w:b w:val="0"/>
          <w:bCs w:val="0"/>
          <w:color w:val="000000"/>
          <w:kern w:val="0"/>
          <w:sz w:val="32"/>
          <w:szCs w:val="32"/>
          <w:lang w:val="en-US" w:eastAsia="zh-CN" w:bidi="ar-SA"/>
        </w:rPr>
      </w:pPr>
      <w:r>
        <w:rPr>
          <w:rFonts w:hint="eastAsia" w:ascii="仿宋_GB2312" w:hAnsi="宋体" w:eastAsia="仿宋_GB2312" w:cs="宋体"/>
          <w:b w:val="0"/>
          <w:bCs w:val="0"/>
          <w:color w:val="000000"/>
          <w:kern w:val="0"/>
          <w:sz w:val="32"/>
          <w:szCs w:val="32"/>
          <w:lang w:val="en-US" w:eastAsia="zh-CN" w:bidi="ar-SA"/>
        </w:rPr>
        <w:t>1.机构设置情况</w:t>
      </w:r>
    </w:p>
    <w:p w14:paraId="42262FE1">
      <w:pPr>
        <w:spacing w:line="578" w:lineRule="exact"/>
        <w:ind w:firstLine="640" w:firstLineChars="200"/>
        <w:rPr>
          <w:rFonts w:hint="eastAsia" w:ascii="仿宋_GB2312" w:hAnsi="宋体" w:eastAsia="仿宋_GB2312" w:cs="宋体"/>
          <w:b w:val="0"/>
          <w:bCs w:val="0"/>
          <w:color w:val="000000"/>
          <w:kern w:val="0"/>
          <w:sz w:val="32"/>
          <w:szCs w:val="32"/>
          <w:lang w:val="en-US" w:eastAsia="zh-CN" w:bidi="ar-SA"/>
        </w:rPr>
      </w:pPr>
      <w:r>
        <w:rPr>
          <w:rFonts w:hint="eastAsia" w:ascii="仿宋_GB2312" w:hAnsi="宋体" w:eastAsia="仿宋_GB2312" w:cs="宋体"/>
          <w:b w:val="0"/>
          <w:bCs w:val="0"/>
          <w:color w:val="000000"/>
          <w:kern w:val="0"/>
          <w:sz w:val="32"/>
          <w:szCs w:val="32"/>
          <w:lang w:val="en-US" w:eastAsia="zh-CN" w:bidi="ar-SA"/>
        </w:rPr>
        <w:t>中共北京市委统一战线工作部（以下简称：市委统战部)，包含两家预算单位：中共北京市委统战部本级、北京市党派团体综合服务中心。</w:t>
      </w:r>
    </w:p>
    <w:p w14:paraId="6ACE879E">
      <w:pPr>
        <w:spacing w:line="578" w:lineRule="exact"/>
        <w:ind w:firstLine="640" w:firstLineChars="200"/>
        <w:rPr>
          <w:rFonts w:hint="eastAsia" w:ascii="仿宋_GB2312" w:hAnsi="宋体" w:eastAsia="仿宋_GB2312" w:cs="宋体"/>
          <w:b w:val="0"/>
          <w:bCs w:val="0"/>
          <w:color w:val="000000"/>
          <w:kern w:val="0"/>
          <w:sz w:val="32"/>
          <w:szCs w:val="32"/>
          <w:lang w:val="en-US" w:eastAsia="zh-CN" w:bidi="ar-SA"/>
        </w:rPr>
      </w:pPr>
      <w:r>
        <w:rPr>
          <w:rFonts w:hint="eastAsia" w:ascii="仿宋_GB2312" w:hAnsi="宋体" w:eastAsia="仿宋_GB2312" w:cs="宋体"/>
          <w:b w:val="0"/>
          <w:bCs w:val="0"/>
          <w:color w:val="000000"/>
          <w:kern w:val="0"/>
          <w:sz w:val="32"/>
          <w:szCs w:val="32"/>
          <w:lang w:val="en-US" w:eastAsia="zh-CN" w:bidi="ar-SA"/>
        </w:rPr>
        <w:t>2.部门职责</w:t>
      </w:r>
    </w:p>
    <w:p w14:paraId="44867D61">
      <w:pPr>
        <w:spacing w:line="578" w:lineRule="exact"/>
        <w:ind w:firstLine="640" w:firstLineChars="200"/>
        <w:rPr>
          <w:rFonts w:hint="eastAsia" w:ascii="楷体_GB2312" w:eastAsia="楷体_GB2312"/>
          <w:sz w:val="32"/>
          <w:szCs w:val="32"/>
        </w:rPr>
      </w:pPr>
      <w:r>
        <w:rPr>
          <w:rFonts w:hint="eastAsia" w:ascii="仿宋_GB2312" w:hAnsi="宋体" w:eastAsia="仿宋_GB2312" w:cs="宋体"/>
          <w:b w:val="0"/>
          <w:color w:val="000000"/>
          <w:kern w:val="0"/>
          <w:sz w:val="32"/>
          <w:szCs w:val="32"/>
          <w:lang w:val="en-US" w:eastAsia="zh-CN" w:bidi="ar-SA"/>
        </w:rPr>
        <w:t>中共北京市委统战部是市委负责全市统一战线工作的职能部门。</w:t>
      </w:r>
    </w:p>
    <w:p w14:paraId="6DCBA022">
      <w:pPr>
        <w:numPr>
          <w:ilvl w:val="0"/>
          <w:numId w:val="1"/>
        </w:numPr>
        <w:spacing w:line="600" w:lineRule="exact"/>
        <w:ind w:firstLine="640" w:firstLineChars="200"/>
        <w:rPr>
          <w:rFonts w:hint="eastAsia" w:ascii="楷体_GB2312" w:eastAsia="楷体_GB2312"/>
          <w:sz w:val="32"/>
          <w:szCs w:val="32"/>
        </w:rPr>
      </w:pPr>
      <w:r>
        <w:rPr>
          <w:rFonts w:hint="eastAsia" w:ascii="楷体_GB2312" w:eastAsia="楷体_GB2312"/>
          <w:sz w:val="32"/>
          <w:szCs w:val="32"/>
        </w:rPr>
        <w:t>部门整体绩效目标设立情况</w:t>
      </w:r>
    </w:p>
    <w:p w14:paraId="19627A47">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市委统战部部门绩效目标是依据机构设置和主要职责，结合部内中长期规划、年度工作计划、政策要求以及年度主要工作任务设立，反映市委统战部使用部门预算资金在年度履职中预期达到的总体产出和效果。</w:t>
      </w:r>
    </w:p>
    <w:p w14:paraId="276B7BAC">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部门总体绩效目标：以习近平中国特色社会主义思想为指导，全面学习贯彻党的二十大和二十届三中、四中全会精神，深入贯彻落实习近平总书记关于做好新时代党的统一战线工作的重要思想和对北京重要讲话精神，坚决贯彻党中央关于统战工作的决策部署，认真落实市委十三届历次全会部署，进一步完善大统战工作格局，坚持围绕中心、服务大局，坚持凝聚人心、汇聚力量，坚持稳中求进、守正创新，着力做实思想政治引领主责主业，着力为首都现代化建设凝心聚力，着力抓好统战工作领域改革举措落地，不断推动新时代首都统战工作高质量发展，为北京率先基本实现社会主义现代化贡献统战力量。</w:t>
      </w:r>
    </w:p>
    <w:p w14:paraId="12EEF5CB">
      <w:pPr>
        <w:spacing w:line="578" w:lineRule="exact"/>
        <w:ind w:firstLine="640" w:firstLineChars="200"/>
        <w:rPr>
          <w:rFonts w:hint="eastAsia" w:ascii="楷体_GB2312" w:eastAsia="楷体_GB2312"/>
          <w:sz w:val="32"/>
          <w:szCs w:val="32"/>
        </w:rPr>
      </w:pPr>
      <w:r>
        <w:rPr>
          <w:rFonts w:hint="eastAsia" w:ascii="仿宋_GB2312" w:hAnsi="宋体" w:eastAsia="仿宋_GB2312" w:cs="宋体"/>
          <w:b w:val="0"/>
          <w:color w:val="000000"/>
          <w:kern w:val="0"/>
          <w:sz w:val="32"/>
          <w:szCs w:val="32"/>
          <w:lang w:val="en-US" w:eastAsia="zh-CN" w:bidi="ar-SA"/>
        </w:rPr>
        <w:t>市委统战部2025年部门整体绩效目标包括六个方面，绩效目标设立依据充分，目标与职责匹配较好，目标合理。</w:t>
      </w:r>
    </w:p>
    <w:p w14:paraId="5534B567">
      <w:pPr>
        <w:spacing w:line="600" w:lineRule="exact"/>
        <w:ind w:firstLine="640" w:firstLineChars="200"/>
        <w:rPr>
          <w:rFonts w:ascii="黑体" w:hAnsi="黑体" w:eastAsia="黑体" w:cs="宋体"/>
          <w:color w:val="000000"/>
          <w:kern w:val="0"/>
          <w:sz w:val="32"/>
          <w:szCs w:val="32"/>
        </w:rPr>
      </w:pPr>
      <w:r>
        <w:rPr>
          <w:rFonts w:hint="eastAsia" w:ascii="黑体" w:hAnsi="黑体" w:eastAsia="黑体" w:cs="宋体"/>
          <w:color w:val="000000"/>
          <w:kern w:val="0"/>
          <w:sz w:val="32"/>
          <w:szCs w:val="32"/>
        </w:rPr>
        <w:t>二</w:t>
      </w:r>
      <w:r>
        <w:rPr>
          <w:rFonts w:ascii="黑体" w:hAnsi="黑体" w:eastAsia="黑体" w:cs="宋体"/>
          <w:color w:val="000000"/>
          <w:kern w:val="0"/>
          <w:sz w:val="32"/>
          <w:szCs w:val="32"/>
        </w:rPr>
        <w:t>、</w:t>
      </w:r>
      <w:r>
        <w:rPr>
          <w:rFonts w:hint="eastAsia" w:ascii="黑体" w:hAnsi="黑体" w:eastAsia="黑体" w:cs="宋体"/>
          <w:color w:val="000000"/>
          <w:kern w:val="0"/>
          <w:sz w:val="32"/>
          <w:szCs w:val="32"/>
        </w:rPr>
        <w:t>当年</w:t>
      </w:r>
      <w:r>
        <w:rPr>
          <w:rFonts w:ascii="黑体" w:hAnsi="黑体" w:eastAsia="黑体" w:cs="宋体"/>
          <w:color w:val="000000"/>
          <w:kern w:val="0"/>
          <w:sz w:val="32"/>
          <w:szCs w:val="32"/>
        </w:rPr>
        <w:t>预算执行情况</w:t>
      </w:r>
    </w:p>
    <w:p w14:paraId="438BE2F0">
      <w:pPr>
        <w:spacing w:line="600" w:lineRule="exact"/>
        <w:ind w:firstLine="640" w:firstLineChars="200"/>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highlight w:val="none"/>
        </w:rPr>
        <w:t>202</w:t>
      </w:r>
      <w:r>
        <w:rPr>
          <w:rFonts w:hint="eastAsia" w:ascii="仿宋_GB2312" w:hAnsi="宋体" w:eastAsia="仿宋_GB2312" w:cs="宋体"/>
          <w:color w:val="000000"/>
          <w:kern w:val="0"/>
          <w:sz w:val="32"/>
          <w:szCs w:val="32"/>
          <w:highlight w:val="none"/>
          <w:lang w:val="en-US" w:eastAsia="zh-CN"/>
        </w:rPr>
        <w:t>5</w:t>
      </w:r>
      <w:r>
        <w:rPr>
          <w:rFonts w:hint="eastAsia" w:ascii="仿宋_GB2312" w:hAnsi="宋体" w:eastAsia="仿宋_GB2312" w:cs="宋体"/>
          <w:color w:val="000000"/>
          <w:kern w:val="0"/>
          <w:sz w:val="32"/>
          <w:szCs w:val="32"/>
        </w:rPr>
        <w:t>年</w:t>
      </w:r>
      <w:r>
        <w:rPr>
          <w:rFonts w:ascii="仿宋_GB2312" w:hAnsi="宋体" w:eastAsia="仿宋_GB2312" w:cs="宋体"/>
          <w:color w:val="000000"/>
          <w:kern w:val="0"/>
          <w:sz w:val="32"/>
          <w:szCs w:val="32"/>
        </w:rPr>
        <w:t>全年</w:t>
      </w:r>
      <w:r>
        <w:rPr>
          <w:rFonts w:hint="eastAsia" w:ascii="仿宋_GB2312" w:hAnsi="宋体" w:eastAsia="仿宋_GB2312" w:cs="宋体"/>
          <w:color w:val="000000"/>
          <w:kern w:val="0"/>
          <w:sz w:val="32"/>
          <w:szCs w:val="32"/>
        </w:rPr>
        <w:t>预算数</w:t>
      </w:r>
      <w:r>
        <w:rPr>
          <w:rFonts w:hint="eastAsia" w:ascii="仿宋_GB2312" w:hAnsi="宋体" w:eastAsia="仿宋_GB2312" w:cs="宋体"/>
          <w:color w:val="000000"/>
          <w:kern w:val="0"/>
          <w:sz w:val="32"/>
          <w:szCs w:val="32"/>
          <w:highlight w:val="none"/>
        </w:rPr>
        <w:t>11623.22</w:t>
      </w:r>
      <w:r>
        <w:rPr>
          <w:rFonts w:hint="eastAsia" w:ascii="仿宋_GB2312" w:hAnsi="宋体" w:eastAsia="仿宋_GB2312" w:cs="宋体"/>
          <w:color w:val="000000"/>
          <w:kern w:val="0"/>
          <w:sz w:val="32"/>
          <w:szCs w:val="32"/>
        </w:rPr>
        <w:t>万元</w:t>
      </w:r>
      <w:r>
        <w:rPr>
          <w:rFonts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rPr>
        <w:t>其中</w:t>
      </w:r>
      <w:r>
        <w:rPr>
          <w:rFonts w:ascii="仿宋_GB2312" w:hAnsi="宋体" w:eastAsia="仿宋_GB2312" w:cs="宋体"/>
          <w:color w:val="000000"/>
          <w:kern w:val="0"/>
          <w:sz w:val="32"/>
          <w:szCs w:val="32"/>
        </w:rPr>
        <w:t>，基本</w:t>
      </w:r>
      <w:r>
        <w:rPr>
          <w:rFonts w:hint="eastAsia" w:ascii="仿宋_GB2312" w:hAnsi="宋体" w:eastAsia="仿宋_GB2312" w:cs="宋体"/>
          <w:color w:val="000000"/>
          <w:kern w:val="0"/>
          <w:sz w:val="32"/>
          <w:szCs w:val="32"/>
        </w:rPr>
        <w:t>支出</w:t>
      </w:r>
      <w:r>
        <w:rPr>
          <w:rFonts w:ascii="仿宋_GB2312" w:hAnsi="宋体" w:eastAsia="仿宋_GB2312" w:cs="宋体"/>
          <w:color w:val="000000"/>
          <w:kern w:val="0"/>
          <w:sz w:val="32"/>
          <w:szCs w:val="32"/>
        </w:rPr>
        <w:t>预算数</w:t>
      </w:r>
      <w:r>
        <w:rPr>
          <w:rFonts w:hint="eastAsia" w:ascii="仿宋_GB2312" w:hAnsi="宋体" w:eastAsia="仿宋_GB2312" w:cs="宋体"/>
          <w:b w:val="0"/>
          <w:color w:val="000000"/>
          <w:kern w:val="0"/>
          <w:sz w:val="32"/>
          <w:szCs w:val="32"/>
          <w:highlight w:val="none"/>
          <w:lang w:val="en-US" w:eastAsia="zh-CN" w:bidi="ar-SA"/>
        </w:rPr>
        <w:t>7721.88</w:t>
      </w:r>
      <w:r>
        <w:rPr>
          <w:rFonts w:ascii="仿宋_GB2312" w:hAnsi="宋体" w:eastAsia="仿宋_GB2312" w:cs="宋体"/>
          <w:color w:val="000000"/>
          <w:kern w:val="0"/>
          <w:sz w:val="32"/>
          <w:szCs w:val="32"/>
        </w:rPr>
        <w:t>万元，</w:t>
      </w:r>
      <w:r>
        <w:rPr>
          <w:rFonts w:hint="eastAsia" w:ascii="仿宋_GB2312" w:hAnsi="宋体" w:eastAsia="仿宋_GB2312" w:cs="宋体"/>
          <w:color w:val="000000"/>
          <w:kern w:val="0"/>
          <w:sz w:val="32"/>
          <w:szCs w:val="32"/>
        </w:rPr>
        <w:t>项目支出预算数</w:t>
      </w:r>
      <w:r>
        <w:rPr>
          <w:rFonts w:hint="eastAsia" w:ascii="仿宋_GB2312" w:hAnsi="宋体" w:eastAsia="仿宋_GB2312" w:cs="宋体"/>
          <w:b w:val="0"/>
          <w:color w:val="000000"/>
          <w:kern w:val="0"/>
          <w:sz w:val="32"/>
          <w:szCs w:val="32"/>
          <w:highlight w:val="none"/>
          <w:lang w:val="en-US" w:eastAsia="zh-CN" w:bidi="ar-SA"/>
        </w:rPr>
        <w:t>3901.34</w:t>
      </w:r>
      <w:r>
        <w:rPr>
          <w:rFonts w:ascii="仿宋_GB2312" w:hAnsi="宋体" w:eastAsia="仿宋_GB2312" w:cs="宋体"/>
          <w:color w:val="000000"/>
          <w:kern w:val="0"/>
          <w:sz w:val="32"/>
          <w:szCs w:val="32"/>
        </w:rPr>
        <w:t>万元</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eastAsia="zh-CN"/>
        </w:rPr>
        <w:t>全年</w:t>
      </w:r>
      <w:r>
        <w:rPr>
          <w:rFonts w:hint="eastAsia" w:ascii="仿宋_GB2312" w:hAnsi="宋体" w:eastAsia="仿宋_GB2312" w:cs="宋体"/>
          <w:color w:val="000000"/>
          <w:kern w:val="0"/>
          <w:sz w:val="32"/>
          <w:szCs w:val="32"/>
        </w:rPr>
        <w:t>支出</w:t>
      </w:r>
      <w:r>
        <w:rPr>
          <w:rFonts w:hint="eastAsia" w:ascii="仿宋_GB2312" w:hAnsi="宋体" w:eastAsia="仿宋_GB2312" w:cs="宋体"/>
          <w:b w:val="0"/>
          <w:color w:val="000000"/>
          <w:kern w:val="0"/>
          <w:sz w:val="32"/>
          <w:szCs w:val="32"/>
          <w:highlight w:val="none"/>
          <w:lang w:val="en-US" w:eastAsia="zh-CN" w:bidi="ar-SA"/>
        </w:rPr>
        <w:t>11364.13</w:t>
      </w:r>
      <w:r>
        <w:rPr>
          <w:rFonts w:ascii="仿宋_GB2312" w:hAnsi="宋体" w:eastAsia="仿宋_GB2312" w:cs="宋体"/>
          <w:color w:val="000000"/>
          <w:kern w:val="0"/>
          <w:sz w:val="32"/>
          <w:szCs w:val="32"/>
        </w:rPr>
        <w:t>万元，其中，基本支出</w:t>
      </w:r>
      <w:r>
        <w:rPr>
          <w:rFonts w:hint="eastAsia" w:ascii="仿宋_GB2312" w:hAnsi="宋体" w:eastAsia="仿宋_GB2312" w:cs="宋体"/>
          <w:b w:val="0"/>
          <w:color w:val="000000"/>
          <w:kern w:val="0"/>
          <w:sz w:val="32"/>
          <w:szCs w:val="32"/>
          <w:highlight w:val="none"/>
          <w:lang w:val="en-US" w:eastAsia="zh-CN" w:bidi="ar-SA"/>
        </w:rPr>
        <w:t>7642.98</w:t>
      </w:r>
      <w:r>
        <w:rPr>
          <w:rFonts w:ascii="仿宋_GB2312" w:hAnsi="宋体" w:eastAsia="仿宋_GB2312" w:cs="宋体"/>
          <w:color w:val="000000"/>
          <w:kern w:val="0"/>
          <w:sz w:val="32"/>
          <w:szCs w:val="32"/>
        </w:rPr>
        <w:t>万元，项目</w:t>
      </w:r>
      <w:r>
        <w:rPr>
          <w:rFonts w:hint="eastAsia" w:ascii="仿宋_GB2312" w:hAnsi="宋体" w:eastAsia="仿宋_GB2312" w:cs="宋体"/>
          <w:color w:val="000000"/>
          <w:kern w:val="0"/>
          <w:sz w:val="32"/>
          <w:szCs w:val="32"/>
        </w:rPr>
        <w:t>支出</w:t>
      </w:r>
      <w:bookmarkStart w:id="0" w:name="OLE_LINK1"/>
      <w:r>
        <w:rPr>
          <w:rFonts w:hint="eastAsia" w:ascii="仿宋_GB2312" w:hAnsi="宋体" w:eastAsia="仿宋_GB2312" w:cs="宋体"/>
          <w:b w:val="0"/>
          <w:color w:val="000000"/>
          <w:kern w:val="0"/>
          <w:sz w:val="32"/>
          <w:szCs w:val="32"/>
          <w:highlight w:val="none"/>
          <w:lang w:val="en-US" w:eastAsia="zh-CN" w:bidi="ar-SA"/>
        </w:rPr>
        <w:t>3721.15</w:t>
      </w:r>
      <w:bookmarkEnd w:id="0"/>
      <w:r>
        <w:rPr>
          <w:rFonts w:ascii="仿宋_GB2312" w:hAnsi="宋体" w:eastAsia="仿宋_GB2312" w:cs="宋体"/>
          <w:color w:val="000000"/>
          <w:kern w:val="0"/>
          <w:sz w:val="32"/>
          <w:szCs w:val="32"/>
        </w:rPr>
        <w:t>万元。</w:t>
      </w:r>
      <w:r>
        <w:rPr>
          <w:rFonts w:hint="eastAsia" w:ascii="仿宋_GB2312" w:hAnsi="宋体" w:eastAsia="仿宋_GB2312" w:cs="宋体"/>
          <w:color w:val="000000"/>
          <w:kern w:val="0"/>
          <w:sz w:val="32"/>
          <w:szCs w:val="32"/>
        </w:rPr>
        <w:t>预算</w:t>
      </w:r>
      <w:r>
        <w:rPr>
          <w:rFonts w:ascii="仿宋_GB2312" w:hAnsi="宋体" w:eastAsia="仿宋_GB2312" w:cs="宋体"/>
          <w:color w:val="000000"/>
          <w:kern w:val="0"/>
          <w:sz w:val="32"/>
          <w:szCs w:val="32"/>
        </w:rPr>
        <w:t>执行率为</w:t>
      </w:r>
      <w:r>
        <w:rPr>
          <w:rFonts w:hint="eastAsia" w:ascii="仿宋_GB2312" w:hAnsi="宋体" w:eastAsia="仿宋_GB2312" w:cs="宋体"/>
          <w:b w:val="0"/>
          <w:color w:val="000000"/>
          <w:kern w:val="0"/>
          <w:sz w:val="32"/>
          <w:szCs w:val="32"/>
          <w:highlight w:val="none"/>
          <w:lang w:val="en-US" w:eastAsia="zh-CN" w:bidi="ar-SA"/>
        </w:rPr>
        <w:t>97.77%</w:t>
      </w:r>
      <w:r>
        <w:rPr>
          <w:rFonts w:hint="eastAsia" w:ascii="仿宋_GB2312" w:hAnsi="宋体" w:eastAsia="仿宋_GB2312" w:cs="宋体"/>
          <w:color w:val="000000"/>
          <w:kern w:val="0"/>
          <w:sz w:val="32"/>
          <w:szCs w:val="32"/>
        </w:rPr>
        <w:t>。</w:t>
      </w:r>
    </w:p>
    <w:p w14:paraId="72CA4DC6">
      <w:pPr>
        <w:spacing w:line="600" w:lineRule="exact"/>
        <w:ind w:left="105" w:leftChars="50" w:firstLine="480" w:firstLineChars="150"/>
        <w:rPr>
          <w:rFonts w:ascii="黑体" w:hAnsi="黑体" w:eastAsia="黑体" w:cs="宋体"/>
          <w:color w:val="000000"/>
          <w:kern w:val="0"/>
          <w:sz w:val="32"/>
          <w:szCs w:val="32"/>
        </w:rPr>
      </w:pPr>
      <w:r>
        <w:rPr>
          <w:rFonts w:hint="eastAsia" w:ascii="黑体" w:hAnsi="黑体" w:eastAsia="黑体" w:cs="宋体"/>
          <w:color w:val="000000"/>
          <w:kern w:val="0"/>
          <w:sz w:val="32"/>
          <w:szCs w:val="32"/>
        </w:rPr>
        <w:t>三</w:t>
      </w:r>
      <w:r>
        <w:rPr>
          <w:rFonts w:ascii="黑体" w:hAnsi="黑体" w:eastAsia="黑体" w:cs="宋体"/>
          <w:color w:val="000000"/>
          <w:kern w:val="0"/>
          <w:sz w:val="32"/>
          <w:szCs w:val="32"/>
        </w:rPr>
        <w:t>、整体绩效目标实现情况</w:t>
      </w:r>
    </w:p>
    <w:p w14:paraId="05A856E9">
      <w:pPr>
        <w:spacing w:line="600" w:lineRule="exact"/>
        <w:ind w:left="105" w:leftChars="50" w:firstLine="480" w:firstLineChars="150"/>
        <w:rPr>
          <w:rFonts w:ascii="楷体_GB2312" w:eastAsia="楷体_GB2312"/>
          <w:sz w:val="32"/>
          <w:szCs w:val="32"/>
        </w:rPr>
      </w:pPr>
      <w:r>
        <w:rPr>
          <w:rFonts w:hint="eastAsia" w:ascii="楷体_GB2312" w:eastAsia="楷体_GB2312"/>
          <w:sz w:val="32"/>
          <w:szCs w:val="32"/>
        </w:rPr>
        <w:t>（一）产出完成情况分析</w:t>
      </w:r>
    </w:p>
    <w:p w14:paraId="3D09D2BF">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2025年市委统战部围绕新时代统战工作主线，全面推进各领域重点工作，坚持用习近平新时代中国特色社会主义思想凝心铸魂，共同思想政治基础更加巩固;坚决贯彻党中央决策部署，统战各领域工作实现创新发展;充分发挥统一战线强大法宝作用，服务中心大局成效显著提升。</w:t>
      </w:r>
    </w:p>
    <w:p w14:paraId="0C33B913">
      <w:pPr>
        <w:spacing w:line="578" w:lineRule="exact"/>
        <w:ind w:firstLine="640" w:firstLineChars="200"/>
        <w:rPr>
          <w:rFonts w:hint="default"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产出质量符合整体绩效目标要求，项目平均计划完成率为97.77%。</w:t>
      </w:r>
    </w:p>
    <w:p w14:paraId="3827E6C2">
      <w:pPr>
        <w:spacing w:line="600" w:lineRule="exact"/>
        <w:ind w:left="105" w:leftChars="50" w:firstLine="480" w:firstLineChars="150"/>
        <w:rPr>
          <w:rFonts w:ascii="楷体_GB2312" w:eastAsia="楷体_GB2312"/>
          <w:sz w:val="32"/>
          <w:szCs w:val="32"/>
        </w:rPr>
      </w:pPr>
      <w:r>
        <w:rPr>
          <w:rFonts w:hint="eastAsia" w:ascii="仿宋_GB2312" w:hAnsi="宋体" w:eastAsia="仿宋_GB2312" w:cs="宋体"/>
          <w:color w:val="000000"/>
          <w:kern w:val="0"/>
          <w:sz w:val="32"/>
          <w:szCs w:val="32"/>
        </w:rPr>
        <w:t xml:space="preserve"> </w:t>
      </w:r>
      <w:r>
        <w:rPr>
          <w:rFonts w:hint="eastAsia" w:ascii="楷体_GB2312" w:eastAsia="楷体_GB2312"/>
          <w:sz w:val="32"/>
          <w:szCs w:val="32"/>
        </w:rPr>
        <w:t>（二）效果</w:t>
      </w:r>
      <w:r>
        <w:rPr>
          <w:rFonts w:ascii="楷体_GB2312" w:eastAsia="楷体_GB2312"/>
          <w:sz w:val="32"/>
          <w:szCs w:val="32"/>
        </w:rPr>
        <w:t>实现情况分析</w:t>
      </w:r>
    </w:p>
    <w:p w14:paraId="0D8C3D3D">
      <w:pPr>
        <w:spacing w:line="578" w:lineRule="exact"/>
        <w:ind w:firstLine="640" w:firstLineChars="200"/>
        <w:rPr>
          <w:rFonts w:hint="default" w:ascii="仿宋_GB2312" w:hAnsi="宋体" w:eastAsia="仿宋_GB2312" w:cs="宋体"/>
          <w:b w:val="0"/>
          <w:color w:val="000000"/>
          <w:kern w:val="0"/>
          <w:sz w:val="32"/>
          <w:szCs w:val="32"/>
          <w:lang w:val="en-US" w:eastAsia="zh-CN" w:bidi="ar-SA"/>
        </w:rPr>
      </w:pPr>
      <w:bookmarkStart w:id="2" w:name="_GoBack"/>
      <w:bookmarkEnd w:id="2"/>
      <w:r>
        <w:rPr>
          <w:rFonts w:hint="eastAsia" w:ascii="仿宋_GB2312" w:hAnsi="宋体" w:eastAsia="仿宋_GB2312" w:cs="宋体"/>
          <w:b w:val="0"/>
          <w:color w:val="000000"/>
          <w:kern w:val="0"/>
          <w:sz w:val="32"/>
          <w:szCs w:val="32"/>
          <w:lang w:val="en-US" w:eastAsia="zh-CN" w:bidi="ar-SA"/>
        </w:rPr>
        <w:t>2025年，全市统一战线共同思想政治基础持续巩固。统一战线凝聚人心、汇聚力量作用充分彰显，在服务重大活动、科技创新、民营经济发展、区域协同、基层治理等方面贡献突出，风险防范扎实有效，大统战工作格局不断完善，首都统一战线呈现出团结、奋进、开拓、活跃的良好局面，为“十四五”规划圆满收官、“十五五”规划良好开局奠定了坚实的统战基础。</w:t>
      </w:r>
    </w:p>
    <w:p w14:paraId="48806566">
      <w:pPr>
        <w:spacing w:line="600" w:lineRule="exact"/>
        <w:ind w:left="105" w:leftChars="50" w:firstLine="480" w:firstLineChars="150"/>
        <w:rPr>
          <w:rFonts w:hint="eastAsia" w:ascii="黑体" w:hAnsi="黑体" w:eastAsia="黑体" w:cs="宋体"/>
          <w:color w:val="000000"/>
          <w:kern w:val="0"/>
          <w:sz w:val="32"/>
          <w:szCs w:val="32"/>
        </w:rPr>
      </w:pPr>
      <w:r>
        <w:rPr>
          <w:rFonts w:hint="eastAsia" w:ascii="黑体" w:hAnsi="黑体" w:eastAsia="黑体" w:cs="宋体"/>
          <w:color w:val="000000"/>
          <w:kern w:val="0"/>
          <w:sz w:val="32"/>
          <w:szCs w:val="32"/>
        </w:rPr>
        <w:t>四</w:t>
      </w:r>
      <w:r>
        <w:rPr>
          <w:rFonts w:ascii="黑体" w:hAnsi="黑体" w:eastAsia="黑体" w:cs="宋体"/>
          <w:color w:val="000000"/>
          <w:kern w:val="0"/>
          <w:sz w:val="32"/>
          <w:szCs w:val="32"/>
        </w:rPr>
        <w:t>、预算管理</w:t>
      </w:r>
      <w:r>
        <w:rPr>
          <w:rFonts w:hint="eastAsia" w:ascii="黑体" w:hAnsi="黑体" w:eastAsia="黑体" w:cs="宋体"/>
          <w:color w:val="000000"/>
          <w:kern w:val="0"/>
          <w:sz w:val="32"/>
          <w:szCs w:val="32"/>
        </w:rPr>
        <w:t>情况分</w:t>
      </w:r>
      <w:r>
        <w:rPr>
          <w:rFonts w:ascii="黑体" w:hAnsi="黑体" w:eastAsia="黑体" w:cs="宋体"/>
          <w:color w:val="000000"/>
          <w:kern w:val="0"/>
          <w:sz w:val="32"/>
          <w:szCs w:val="32"/>
        </w:rPr>
        <w:t>析</w:t>
      </w:r>
    </w:p>
    <w:p w14:paraId="4E9ED8DE">
      <w:pPr>
        <w:spacing w:line="600" w:lineRule="exact"/>
        <w:ind w:left="105" w:leftChars="50" w:firstLine="480" w:firstLineChars="150"/>
        <w:rPr>
          <w:rFonts w:ascii="楷体_GB2312" w:eastAsia="楷体_GB2312"/>
          <w:sz w:val="32"/>
          <w:szCs w:val="32"/>
        </w:rPr>
      </w:pPr>
      <w:r>
        <w:rPr>
          <w:rFonts w:hint="eastAsia" w:ascii="楷体_GB2312" w:eastAsia="楷体_GB2312"/>
          <w:sz w:val="32"/>
          <w:szCs w:val="32"/>
        </w:rPr>
        <w:t>（一）财务管理</w:t>
      </w:r>
    </w:p>
    <w:p w14:paraId="2A47640C">
      <w:pPr>
        <w:spacing w:line="600" w:lineRule="exact"/>
        <w:ind w:left="105" w:leftChars="50" w:firstLine="480" w:firstLineChars="150"/>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1.财务</w:t>
      </w:r>
      <w:r>
        <w:rPr>
          <w:rFonts w:ascii="仿宋_GB2312" w:hAnsi="宋体" w:eastAsia="仿宋_GB2312" w:cs="宋体"/>
          <w:color w:val="000000"/>
          <w:kern w:val="0"/>
          <w:sz w:val="32"/>
          <w:szCs w:val="32"/>
        </w:rPr>
        <w:t>管理制度健全性</w:t>
      </w:r>
    </w:p>
    <w:p w14:paraId="1A949A23">
      <w:pPr>
        <w:spacing w:line="578" w:lineRule="exact"/>
        <w:ind w:firstLine="640" w:firstLineChars="200"/>
        <w:rPr>
          <w:rFonts w:hint="eastAsia" w:ascii="仿宋_GB2312" w:hAnsi="宋体" w:eastAsia="仿宋_GB2312" w:cs="宋体"/>
          <w:color w:val="000000"/>
          <w:kern w:val="0"/>
          <w:sz w:val="32"/>
          <w:szCs w:val="32"/>
        </w:rPr>
      </w:pPr>
      <w:r>
        <w:rPr>
          <w:rFonts w:hint="eastAsia" w:ascii="仿宋_GB2312" w:hAnsi="宋体" w:eastAsia="仿宋_GB2312" w:cs="宋体"/>
          <w:b w:val="0"/>
          <w:color w:val="000000"/>
          <w:kern w:val="0"/>
          <w:sz w:val="32"/>
          <w:szCs w:val="32"/>
          <w:lang w:val="en-US" w:eastAsia="zh-CN" w:bidi="ar-SA"/>
        </w:rPr>
        <w:t>为规范内部管理，市委统战部完善了中共北京市委统一战线工作部内部控制管理制度，对预算业务、收支业务、政府采购业务、固定资产管理业务、合同业务管理等均进行了覆盖，部门财务管理制度进一步健全。</w:t>
      </w:r>
    </w:p>
    <w:p w14:paraId="3C4AB5A3">
      <w:pPr>
        <w:numPr>
          <w:ilvl w:val="0"/>
          <w:numId w:val="2"/>
        </w:numPr>
        <w:spacing w:line="600" w:lineRule="exact"/>
        <w:ind w:left="105" w:leftChars="50" w:firstLine="480" w:firstLineChars="150"/>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资金使用合规性</w:t>
      </w:r>
      <w:r>
        <w:rPr>
          <w:rFonts w:ascii="仿宋_GB2312" w:hAnsi="宋体" w:eastAsia="仿宋_GB2312" w:cs="宋体"/>
          <w:color w:val="000000"/>
          <w:kern w:val="0"/>
          <w:sz w:val="32"/>
          <w:szCs w:val="32"/>
        </w:rPr>
        <w:t>和安全性</w:t>
      </w:r>
    </w:p>
    <w:p w14:paraId="09B1B015">
      <w:pPr>
        <w:spacing w:line="578" w:lineRule="exact"/>
        <w:ind w:firstLine="640" w:firstLineChars="200"/>
        <w:rPr>
          <w:rFonts w:ascii="仿宋_GB2312" w:hAnsi="宋体" w:eastAsia="仿宋_GB2312" w:cs="宋体"/>
          <w:color w:val="000000"/>
          <w:kern w:val="0"/>
          <w:sz w:val="32"/>
          <w:szCs w:val="32"/>
        </w:rPr>
      </w:pPr>
      <w:r>
        <w:rPr>
          <w:rFonts w:hint="eastAsia" w:ascii="仿宋_GB2312" w:hAnsi="宋体" w:eastAsia="仿宋_GB2312" w:cs="宋体"/>
          <w:b w:val="0"/>
          <w:color w:val="000000"/>
          <w:kern w:val="0"/>
          <w:sz w:val="32"/>
          <w:szCs w:val="32"/>
          <w:lang w:val="en-US" w:eastAsia="zh-CN" w:bidi="ar-SA"/>
        </w:rPr>
        <w:t>市委统战部资金使用严格执行政府会计准则制度及市级财政政策和部门预算管理相关规定与工作要求，建立健全部门管理制度，强化部门财务管理，严格预算执行。各项支出严格按照预算批复的支出范围、开支标准以及《中共北京市委统一战线工作部内部控制管理制度》执行。各项资金支出按照“逐级申报、逐级审批、合理授权”的方式，严格执行内部控制规范和支出审批程序。实行大额资金支出集体决策制度，保证资金支出的合规性、安全性。严格落实政府“过紧日子”要求，压减一般性支出，“三公”经费预算较上年减少4.15万元，管控成效显著。</w:t>
      </w:r>
    </w:p>
    <w:p w14:paraId="687603EA">
      <w:pPr>
        <w:numPr>
          <w:ilvl w:val="0"/>
          <w:numId w:val="2"/>
        </w:numPr>
        <w:spacing w:line="600" w:lineRule="exact"/>
        <w:ind w:left="105" w:leftChars="50" w:firstLine="480" w:firstLineChars="150"/>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会计</w:t>
      </w:r>
      <w:r>
        <w:rPr>
          <w:rFonts w:ascii="仿宋_GB2312" w:hAnsi="宋体" w:eastAsia="仿宋_GB2312" w:cs="宋体"/>
          <w:color w:val="000000"/>
          <w:kern w:val="0"/>
          <w:sz w:val="32"/>
          <w:szCs w:val="32"/>
        </w:rPr>
        <w:t>基础信息完善性</w:t>
      </w:r>
    </w:p>
    <w:p w14:paraId="6288B27E">
      <w:pPr>
        <w:spacing w:line="578" w:lineRule="exact"/>
        <w:ind w:firstLine="640" w:firstLineChars="200"/>
        <w:rPr>
          <w:rFonts w:ascii="仿宋_GB2312" w:hAnsi="宋体" w:eastAsia="仿宋_GB2312" w:cs="宋体"/>
          <w:color w:val="000000"/>
          <w:kern w:val="0"/>
          <w:sz w:val="32"/>
          <w:szCs w:val="32"/>
        </w:rPr>
      </w:pPr>
      <w:r>
        <w:rPr>
          <w:rFonts w:hint="eastAsia" w:ascii="仿宋_GB2312" w:hAnsi="宋体" w:eastAsia="仿宋_GB2312" w:cs="宋体"/>
          <w:b w:val="0"/>
          <w:color w:val="000000"/>
          <w:kern w:val="0"/>
          <w:sz w:val="32"/>
          <w:szCs w:val="32"/>
          <w:lang w:val="en-US" w:eastAsia="zh-CN" w:bidi="ar-SA"/>
        </w:rPr>
        <w:t>市委统战部严格按照《中华人民共和国会计法》《财政部关于贯彻实施政府会计准则制度的通知》和市级财政工作要求等对会计信息进行管理，能够确保基础数据信息和会计信息资料真实、完整、准确，会计基础信息对预算管理工作能够起到支撑作用。</w:t>
      </w:r>
    </w:p>
    <w:p w14:paraId="064DDB1E">
      <w:pPr>
        <w:numPr>
          <w:ilvl w:val="0"/>
          <w:numId w:val="3"/>
        </w:numPr>
        <w:spacing w:line="600" w:lineRule="exact"/>
        <w:ind w:left="0" w:leftChars="0" w:firstLine="640" w:firstLineChars="200"/>
        <w:rPr>
          <w:rFonts w:hint="eastAsia" w:ascii="楷体_GB2312" w:eastAsia="楷体_GB2312"/>
          <w:sz w:val="32"/>
          <w:szCs w:val="32"/>
        </w:rPr>
      </w:pPr>
      <w:r>
        <w:rPr>
          <w:rFonts w:hint="eastAsia" w:ascii="楷体_GB2312" w:eastAsia="楷体_GB2312"/>
          <w:sz w:val="32"/>
          <w:szCs w:val="32"/>
        </w:rPr>
        <w:t>资产管理</w:t>
      </w:r>
    </w:p>
    <w:p w14:paraId="0E170A82">
      <w:pPr>
        <w:spacing w:line="578" w:lineRule="exact"/>
        <w:ind w:firstLine="640" w:firstLineChars="200"/>
        <w:rPr>
          <w:rFonts w:hint="eastAsia" w:ascii="楷体_GB2312" w:eastAsia="楷体_GB2312"/>
          <w:sz w:val="32"/>
          <w:szCs w:val="32"/>
        </w:rPr>
      </w:pPr>
      <w:r>
        <w:rPr>
          <w:rFonts w:hint="eastAsia" w:ascii="仿宋_GB2312" w:hAnsi="宋体" w:eastAsia="仿宋_GB2312" w:cs="宋体"/>
          <w:b w:val="0"/>
          <w:color w:val="000000"/>
          <w:kern w:val="0"/>
          <w:sz w:val="32"/>
          <w:szCs w:val="32"/>
          <w:lang w:val="en-US" w:eastAsia="zh-CN" w:bidi="ar-SA"/>
        </w:rPr>
        <w:t>为规范资产管理工作，根据《行政单位国有资产管理暂行办法》《事业单位国有资产管理暂行办法》和《行政事业单位固定资产管理暂行办法》及市委统战部相关规定，结合单位实际情况，市委统战部制定了《中共北京市委统一战线工作部固定资产管理制度》《中共北京市委统一战线工作部采购管理制度》等，用以规范资产采购和资产管理业务，预算执行过程中，严格执行相关资产管理制度，规范和加强了市委统战部资产管理工作，维护了国有资产的安全完整、合理配置和有效利用，不存在资产违规使用和超额配置资产等情况。</w:t>
      </w:r>
    </w:p>
    <w:p w14:paraId="655AB4E3">
      <w:pPr>
        <w:numPr>
          <w:ilvl w:val="0"/>
          <w:numId w:val="3"/>
        </w:numPr>
        <w:spacing w:line="600" w:lineRule="exact"/>
        <w:ind w:left="0" w:leftChars="0" w:firstLine="640" w:firstLineChars="200"/>
        <w:rPr>
          <w:rFonts w:ascii="楷体_GB2312" w:eastAsia="楷体_GB2312"/>
          <w:sz w:val="32"/>
          <w:szCs w:val="32"/>
        </w:rPr>
      </w:pPr>
      <w:r>
        <w:rPr>
          <w:rFonts w:hint="eastAsia" w:ascii="楷体_GB2312" w:eastAsia="楷体_GB2312"/>
          <w:sz w:val="32"/>
          <w:szCs w:val="32"/>
        </w:rPr>
        <w:t>绩效</w:t>
      </w:r>
      <w:r>
        <w:rPr>
          <w:rFonts w:ascii="楷体_GB2312" w:eastAsia="楷体_GB2312"/>
          <w:sz w:val="32"/>
          <w:szCs w:val="32"/>
        </w:rPr>
        <w:t>管理</w:t>
      </w:r>
    </w:p>
    <w:p w14:paraId="51B7DD52">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为更好地开展预算绩效管理工作，市委统战部围绕全市总体工作方案，明确了预算绩效管理工作的原则、组织机构及职责分工、主要工作任务、工作要求及保障措施等，稳步推进预算绩效管理工作。</w:t>
      </w:r>
    </w:p>
    <w:p w14:paraId="2B712DEF">
      <w:pPr>
        <w:numPr>
          <w:ilvl w:val="0"/>
          <w:numId w:val="3"/>
        </w:numPr>
        <w:spacing w:line="578" w:lineRule="exact"/>
        <w:ind w:left="0" w:leftChars="0" w:firstLine="640" w:firstLineChars="200"/>
        <w:rPr>
          <w:rFonts w:hint="eastAsia" w:ascii="楷体_GB2312" w:eastAsia="楷体_GB2312"/>
          <w:sz w:val="32"/>
          <w:szCs w:val="32"/>
        </w:rPr>
      </w:pPr>
      <w:r>
        <w:rPr>
          <w:rFonts w:hint="eastAsia" w:ascii="楷体_GB2312" w:eastAsia="楷体_GB2312"/>
          <w:sz w:val="32"/>
          <w:szCs w:val="32"/>
        </w:rPr>
        <w:t>结转结余率</w:t>
      </w:r>
    </w:p>
    <w:p w14:paraId="54A74AC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ascii="楷体_GB2312" w:eastAsia="楷体_GB2312"/>
          <w:sz w:val="32"/>
          <w:szCs w:val="32"/>
        </w:rPr>
      </w:pPr>
      <w:r>
        <w:rPr>
          <w:rFonts w:hint="eastAsia" w:ascii="仿宋_GB2312" w:hAnsi="宋体" w:eastAsia="仿宋_GB2312" w:cs="宋体"/>
          <w:b w:val="0"/>
          <w:color w:val="000000"/>
          <w:kern w:val="0"/>
          <w:sz w:val="32"/>
          <w:szCs w:val="32"/>
          <w:highlight w:val="none"/>
          <w:lang w:val="en-US" w:eastAsia="zh-CN" w:bidi="ar-SA"/>
        </w:rPr>
        <w:t>2025年市委统战部全年预算数为11623.22万元，年末结余结转金额为259.09万元，结余结转率2.23%。本年结转结余率较上年减少3.26%，结转结余管控成效有所提升。</w:t>
      </w:r>
    </w:p>
    <w:p w14:paraId="1FE3951C">
      <w:pPr>
        <w:numPr>
          <w:ilvl w:val="0"/>
          <w:numId w:val="3"/>
        </w:numPr>
        <w:spacing w:line="600" w:lineRule="exact"/>
        <w:ind w:left="0" w:leftChars="0" w:firstLine="640" w:firstLineChars="200"/>
        <w:rPr>
          <w:rFonts w:ascii="楷体_GB2312" w:eastAsia="楷体_GB2312"/>
          <w:sz w:val="32"/>
          <w:szCs w:val="32"/>
        </w:rPr>
      </w:pPr>
      <w:r>
        <w:rPr>
          <w:rFonts w:hint="eastAsia" w:ascii="楷体_GB2312" w:eastAsia="楷体_GB2312"/>
          <w:sz w:val="32"/>
          <w:szCs w:val="32"/>
        </w:rPr>
        <w:t>部门</w:t>
      </w:r>
      <w:r>
        <w:rPr>
          <w:rFonts w:ascii="楷体_GB2312" w:eastAsia="楷体_GB2312"/>
          <w:sz w:val="32"/>
          <w:szCs w:val="32"/>
        </w:rPr>
        <w:t>预决算差异率</w:t>
      </w:r>
    </w:p>
    <w:p w14:paraId="6DB8BE0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ascii="楷体_GB2312" w:eastAsia="楷体_GB2312"/>
          <w:sz w:val="32"/>
          <w:szCs w:val="32"/>
        </w:rPr>
      </w:pPr>
      <w:r>
        <w:rPr>
          <w:rFonts w:hint="eastAsia" w:ascii="仿宋_GB2312" w:hAnsi="宋体" w:eastAsia="仿宋_GB2312" w:cs="宋体"/>
          <w:b w:val="0"/>
          <w:color w:val="000000"/>
          <w:kern w:val="0"/>
          <w:sz w:val="32"/>
          <w:szCs w:val="32"/>
          <w:highlight w:val="none"/>
          <w:lang w:val="en-US" w:eastAsia="zh-CN" w:bidi="ar-SA"/>
        </w:rPr>
        <w:t>2025年年初预算数为</w:t>
      </w:r>
      <w:bookmarkStart w:id="1" w:name="OLE_LINK4"/>
      <w:r>
        <w:rPr>
          <w:rFonts w:hint="eastAsia" w:ascii="仿宋_GB2312" w:hAnsi="宋体" w:eastAsia="仿宋_GB2312" w:cs="宋体"/>
          <w:b w:val="0"/>
          <w:color w:val="000000"/>
          <w:kern w:val="0"/>
          <w:sz w:val="32"/>
          <w:szCs w:val="32"/>
          <w:highlight w:val="none"/>
          <w:lang w:val="en-US" w:eastAsia="zh-CN" w:bidi="ar-SA"/>
        </w:rPr>
        <w:t>11143.31</w:t>
      </w:r>
      <w:bookmarkEnd w:id="1"/>
      <w:r>
        <w:rPr>
          <w:rFonts w:hint="eastAsia" w:ascii="仿宋_GB2312" w:hAnsi="宋体" w:eastAsia="仿宋_GB2312" w:cs="宋体"/>
          <w:b w:val="0"/>
          <w:color w:val="000000"/>
          <w:kern w:val="0"/>
          <w:sz w:val="32"/>
          <w:szCs w:val="32"/>
          <w:highlight w:val="none"/>
          <w:lang w:val="en-US" w:eastAsia="zh-CN" w:bidi="ar-SA"/>
        </w:rPr>
        <w:t>万元，决算数为11623.22万元，差额为479.91万元，占年初预算批复总额的4.31%。部门预决算差异率控制情况较好，预算管理水平不断提升。</w:t>
      </w:r>
    </w:p>
    <w:p w14:paraId="49F8541C">
      <w:pPr>
        <w:spacing w:line="600" w:lineRule="exact"/>
        <w:ind w:left="105" w:leftChars="50" w:firstLine="480" w:firstLineChars="150"/>
        <w:rPr>
          <w:rFonts w:ascii="黑体" w:hAnsi="黑体" w:eastAsia="黑体"/>
          <w:sz w:val="32"/>
          <w:szCs w:val="32"/>
        </w:rPr>
      </w:pPr>
      <w:r>
        <w:rPr>
          <w:rFonts w:hint="eastAsia" w:ascii="黑体" w:hAnsi="黑体" w:eastAsia="黑体"/>
          <w:sz w:val="32"/>
          <w:szCs w:val="32"/>
        </w:rPr>
        <w:t>五、总体</w:t>
      </w:r>
      <w:r>
        <w:rPr>
          <w:rFonts w:ascii="黑体" w:hAnsi="黑体" w:eastAsia="黑体"/>
          <w:sz w:val="32"/>
          <w:szCs w:val="32"/>
        </w:rPr>
        <w:t>评价结论</w:t>
      </w:r>
    </w:p>
    <w:p w14:paraId="17695810">
      <w:pPr>
        <w:spacing w:line="600" w:lineRule="exact"/>
        <w:ind w:left="105" w:leftChars="50" w:firstLine="480" w:firstLineChars="150"/>
        <w:rPr>
          <w:rFonts w:hint="eastAsia" w:ascii="楷体_GB2312" w:eastAsia="楷体_GB2312"/>
          <w:sz w:val="32"/>
          <w:szCs w:val="32"/>
        </w:rPr>
      </w:pPr>
      <w:r>
        <w:rPr>
          <w:rFonts w:hint="eastAsia" w:ascii="楷体_GB2312" w:eastAsia="楷体_GB2312"/>
          <w:sz w:val="32"/>
          <w:szCs w:val="32"/>
        </w:rPr>
        <w:t>（一）评价</w:t>
      </w:r>
      <w:r>
        <w:rPr>
          <w:rFonts w:ascii="楷体_GB2312" w:eastAsia="楷体_GB2312"/>
          <w:sz w:val="32"/>
          <w:szCs w:val="32"/>
        </w:rPr>
        <w:t>得分</w:t>
      </w:r>
      <w:r>
        <w:rPr>
          <w:rFonts w:hint="eastAsia" w:ascii="楷体_GB2312" w:eastAsia="楷体_GB2312"/>
          <w:sz w:val="32"/>
          <w:szCs w:val="32"/>
        </w:rPr>
        <w:t>情况</w:t>
      </w:r>
    </w:p>
    <w:p w14:paraId="20277260">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2025年度市委统战部整体支出绩效评价综合得分92.88分，其中当年预算执行情况19.98分、整体绩效目标实现情况54.00分、预算管理情况18.90分，绩效评定结论为“优”。具体情况详见下表。</w:t>
      </w:r>
    </w:p>
    <w:p w14:paraId="245B93C2">
      <w:pPr>
        <w:spacing w:line="578" w:lineRule="exact"/>
        <w:ind w:firstLine="640" w:firstLineChars="200"/>
        <w:rPr>
          <w:rFonts w:hint="eastAsia" w:ascii="仿宋_GB2312" w:hAnsi="宋体" w:eastAsia="仿宋_GB2312" w:cs="宋体"/>
          <w:b w:val="0"/>
          <w:color w:val="000000"/>
          <w:kern w:val="0"/>
          <w:sz w:val="32"/>
          <w:szCs w:val="32"/>
          <w:lang w:val="en-US" w:eastAsia="zh-CN" w:bidi="ar-SA"/>
        </w:rPr>
      </w:pPr>
      <w:r>
        <w:rPr>
          <w:rFonts w:hint="eastAsia" w:ascii="仿宋_GB2312" w:hAnsi="宋体" w:eastAsia="仿宋_GB2312" w:cs="宋体"/>
          <w:b w:val="0"/>
          <w:color w:val="000000"/>
          <w:kern w:val="0"/>
          <w:sz w:val="32"/>
          <w:szCs w:val="32"/>
          <w:lang w:val="en-US" w:eastAsia="zh-CN" w:bidi="ar-SA"/>
        </w:rPr>
        <w:t>具体各指标得分情况如表1所示。</w:t>
      </w:r>
    </w:p>
    <w:p w14:paraId="68404CDF">
      <w:pPr>
        <w:pageBreakBefore w:val="0"/>
        <w:kinsoku/>
        <w:wordWrap/>
        <w:overflowPunct/>
        <w:topLinePunct w:val="0"/>
        <w:autoSpaceDE/>
        <w:autoSpaceDN/>
        <w:bidi w:val="0"/>
        <w:adjustRightInd w:val="0"/>
        <w:snapToGrid w:val="0"/>
        <w:spacing w:line="560" w:lineRule="exact"/>
        <w:jc w:val="center"/>
        <w:textAlignment w:val="auto"/>
        <w:rPr>
          <w:rFonts w:ascii="仿宋_GB2312" w:hAnsi="仿宋" w:eastAsia="仿宋_GB2312" w:cs="仿宋"/>
          <w:sz w:val="24"/>
        </w:rPr>
      </w:pPr>
      <w:r>
        <w:rPr>
          <w:rFonts w:hint="eastAsia" w:ascii="仿宋_GB2312" w:hAnsi="仿宋" w:eastAsia="仿宋_GB2312" w:cs="仿宋"/>
          <w:sz w:val="24"/>
        </w:rPr>
        <w:t>表</w:t>
      </w:r>
      <w:r>
        <w:rPr>
          <w:rFonts w:ascii="仿宋_GB2312" w:hAnsi="仿宋" w:eastAsia="仿宋_GB2312" w:cs="仿宋"/>
          <w:sz w:val="24"/>
        </w:rPr>
        <w:t>1</w:t>
      </w:r>
      <w:r>
        <w:rPr>
          <w:rFonts w:hint="eastAsia" w:ascii="仿宋_GB2312" w:hAnsi="仿宋" w:eastAsia="仿宋_GB2312" w:cs="仿宋"/>
          <w:sz w:val="24"/>
        </w:rPr>
        <w:t>绩效评价各项指标得分情况表</w:t>
      </w:r>
    </w:p>
    <w:tbl>
      <w:tblPr>
        <w:tblStyle w:val="5"/>
        <w:tblW w:w="5000" w:type="pct"/>
        <w:tblInd w:w="0" w:type="dxa"/>
        <w:tblLayout w:type="autofit"/>
        <w:tblCellMar>
          <w:top w:w="0" w:type="dxa"/>
          <w:left w:w="108" w:type="dxa"/>
          <w:bottom w:w="0" w:type="dxa"/>
          <w:right w:w="108" w:type="dxa"/>
        </w:tblCellMar>
      </w:tblPr>
      <w:tblGrid>
        <w:gridCol w:w="2945"/>
        <w:gridCol w:w="4622"/>
        <w:gridCol w:w="3442"/>
        <w:gridCol w:w="3777"/>
      </w:tblGrid>
      <w:tr w14:paraId="7DCC191C">
        <w:tblPrEx>
          <w:tblCellMar>
            <w:top w:w="0" w:type="dxa"/>
            <w:left w:w="108" w:type="dxa"/>
            <w:bottom w:w="0" w:type="dxa"/>
            <w:right w:w="108" w:type="dxa"/>
          </w:tblCellMar>
        </w:tblPrEx>
        <w:trPr>
          <w:trHeight w:val="642" w:hRule="exact"/>
        </w:trPr>
        <w:tc>
          <w:tcPr>
            <w:tcW w:w="996" w:type="pct"/>
            <w:tcBorders>
              <w:top w:val="single" w:color="auto" w:sz="4" w:space="0"/>
              <w:left w:val="single" w:color="auto" w:sz="4" w:space="0"/>
              <w:bottom w:val="single" w:color="auto" w:sz="4" w:space="0"/>
              <w:right w:val="single" w:color="auto" w:sz="4" w:space="0"/>
            </w:tcBorders>
            <w:shd w:val="clear" w:color="000000" w:fill="F2F2F2"/>
            <w:vAlign w:val="center"/>
          </w:tcPr>
          <w:p w14:paraId="05D1E739">
            <w:pPr>
              <w:pageBreakBefore w:val="0"/>
              <w:widowControl/>
              <w:kinsoku/>
              <w:wordWrap/>
              <w:overflowPunct/>
              <w:topLinePunct w:val="0"/>
              <w:autoSpaceDE/>
              <w:autoSpaceDN/>
              <w:bidi w:val="0"/>
              <w:jc w:val="center"/>
              <w:textAlignment w:val="auto"/>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序号</w:t>
            </w:r>
          </w:p>
        </w:tc>
        <w:tc>
          <w:tcPr>
            <w:tcW w:w="1563" w:type="pct"/>
            <w:tcBorders>
              <w:top w:val="single" w:color="auto" w:sz="4" w:space="0"/>
              <w:left w:val="nil"/>
              <w:bottom w:val="single" w:color="auto" w:sz="4" w:space="0"/>
              <w:right w:val="single" w:color="auto" w:sz="4" w:space="0"/>
            </w:tcBorders>
            <w:shd w:val="clear" w:color="000000" w:fill="F2F2F2"/>
            <w:vAlign w:val="center"/>
          </w:tcPr>
          <w:p w14:paraId="60A031DF">
            <w:pPr>
              <w:pageBreakBefore w:val="0"/>
              <w:widowControl/>
              <w:kinsoku/>
              <w:wordWrap/>
              <w:overflowPunct/>
              <w:topLinePunct w:val="0"/>
              <w:autoSpaceDE/>
              <w:autoSpaceDN/>
              <w:bidi w:val="0"/>
              <w:jc w:val="center"/>
              <w:textAlignment w:val="auto"/>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一级指标</w:t>
            </w:r>
          </w:p>
        </w:tc>
        <w:tc>
          <w:tcPr>
            <w:tcW w:w="1164" w:type="pct"/>
            <w:tcBorders>
              <w:top w:val="single" w:color="auto" w:sz="4" w:space="0"/>
              <w:left w:val="nil"/>
              <w:bottom w:val="single" w:color="auto" w:sz="4" w:space="0"/>
              <w:right w:val="single" w:color="auto" w:sz="4" w:space="0"/>
            </w:tcBorders>
            <w:shd w:val="clear" w:color="000000" w:fill="F2F2F2"/>
            <w:vAlign w:val="center"/>
          </w:tcPr>
          <w:p w14:paraId="7CA632BE">
            <w:pPr>
              <w:pageBreakBefore w:val="0"/>
              <w:widowControl/>
              <w:kinsoku/>
              <w:wordWrap/>
              <w:overflowPunct/>
              <w:topLinePunct w:val="0"/>
              <w:autoSpaceDE/>
              <w:autoSpaceDN/>
              <w:bidi w:val="0"/>
              <w:jc w:val="center"/>
              <w:textAlignment w:val="auto"/>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分值</w:t>
            </w:r>
          </w:p>
        </w:tc>
        <w:tc>
          <w:tcPr>
            <w:tcW w:w="1277" w:type="pct"/>
            <w:tcBorders>
              <w:top w:val="single" w:color="auto" w:sz="4" w:space="0"/>
              <w:left w:val="nil"/>
              <w:bottom w:val="single" w:color="auto" w:sz="4" w:space="0"/>
              <w:right w:val="single" w:color="auto" w:sz="4" w:space="0"/>
            </w:tcBorders>
            <w:shd w:val="clear" w:color="000000" w:fill="F2F2F2"/>
            <w:vAlign w:val="center"/>
          </w:tcPr>
          <w:p w14:paraId="0EF59119">
            <w:pPr>
              <w:pageBreakBefore w:val="0"/>
              <w:widowControl/>
              <w:kinsoku/>
              <w:wordWrap/>
              <w:overflowPunct/>
              <w:topLinePunct w:val="0"/>
              <w:autoSpaceDE/>
              <w:autoSpaceDN/>
              <w:bidi w:val="0"/>
              <w:jc w:val="center"/>
              <w:textAlignment w:val="auto"/>
              <w:rPr>
                <w:rFonts w:ascii="仿宋" w:hAnsi="仿宋" w:eastAsia="仿宋" w:cs="宋体"/>
                <w:b/>
                <w:bCs/>
                <w:color w:val="000000"/>
                <w:kern w:val="0"/>
                <w:sz w:val="28"/>
                <w:szCs w:val="28"/>
              </w:rPr>
            </w:pPr>
            <w:r>
              <w:rPr>
                <w:rFonts w:hint="eastAsia" w:ascii="仿宋" w:hAnsi="仿宋" w:eastAsia="仿宋" w:cs="宋体"/>
                <w:b/>
                <w:bCs/>
                <w:color w:val="000000"/>
                <w:kern w:val="0"/>
                <w:sz w:val="28"/>
                <w:szCs w:val="28"/>
              </w:rPr>
              <w:t>得分</w:t>
            </w:r>
          </w:p>
        </w:tc>
      </w:tr>
      <w:tr w14:paraId="2A59B670">
        <w:tblPrEx>
          <w:tblCellMar>
            <w:top w:w="0" w:type="dxa"/>
            <w:left w:w="108" w:type="dxa"/>
            <w:bottom w:w="0" w:type="dxa"/>
            <w:right w:w="108" w:type="dxa"/>
          </w:tblCellMar>
        </w:tblPrEx>
        <w:trPr>
          <w:trHeight w:val="397" w:hRule="exact"/>
        </w:trPr>
        <w:tc>
          <w:tcPr>
            <w:tcW w:w="996" w:type="pct"/>
            <w:tcBorders>
              <w:top w:val="nil"/>
              <w:left w:val="single" w:color="auto" w:sz="4" w:space="0"/>
              <w:bottom w:val="single" w:color="auto" w:sz="4" w:space="0"/>
              <w:right w:val="single" w:color="auto" w:sz="4" w:space="0"/>
            </w:tcBorders>
            <w:shd w:val="clear" w:color="auto" w:fill="auto"/>
            <w:noWrap/>
            <w:vAlign w:val="center"/>
          </w:tcPr>
          <w:p w14:paraId="19EC4DBF">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一</w:t>
            </w:r>
          </w:p>
        </w:tc>
        <w:tc>
          <w:tcPr>
            <w:tcW w:w="1563" w:type="pct"/>
            <w:tcBorders>
              <w:top w:val="nil"/>
              <w:left w:val="nil"/>
              <w:bottom w:val="single" w:color="auto" w:sz="4" w:space="0"/>
              <w:right w:val="single" w:color="auto" w:sz="4" w:space="0"/>
            </w:tcBorders>
            <w:shd w:val="clear" w:color="auto" w:fill="auto"/>
            <w:noWrap/>
            <w:vAlign w:val="center"/>
          </w:tcPr>
          <w:p w14:paraId="196F548F">
            <w:pPr>
              <w:pageBreakBefore w:val="0"/>
              <w:widowControl/>
              <w:kinsoku/>
              <w:wordWrap/>
              <w:overflowPunct/>
              <w:topLinePunct w:val="0"/>
              <w:autoSpaceDE/>
              <w:autoSpaceDN/>
              <w:bidi w:val="0"/>
              <w:jc w:val="left"/>
              <w:textAlignment w:val="auto"/>
              <w:rPr>
                <w:rFonts w:ascii="宋体" w:hAnsi="宋体" w:cs="宋体"/>
                <w:color w:val="000000"/>
                <w:kern w:val="0"/>
                <w:sz w:val="20"/>
                <w:szCs w:val="20"/>
              </w:rPr>
            </w:pPr>
            <w:r>
              <w:rPr>
                <w:rFonts w:hint="eastAsia" w:ascii="宋体" w:hAnsi="宋体" w:cs="宋体"/>
                <w:color w:val="000000"/>
                <w:kern w:val="0"/>
                <w:sz w:val="20"/>
                <w:szCs w:val="20"/>
              </w:rPr>
              <w:t>预算执行情况</w:t>
            </w:r>
          </w:p>
        </w:tc>
        <w:tc>
          <w:tcPr>
            <w:tcW w:w="1164" w:type="pct"/>
            <w:tcBorders>
              <w:top w:val="nil"/>
              <w:left w:val="nil"/>
              <w:bottom w:val="single" w:color="auto" w:sz="4" w:space="0"/>
              <w:right w:val="single" w:color="auto" w:sz="4" w:space="0"/>
            </w:tcBorders>
            <w:shd w:val="clear" w:color="auto" w:fill="auto"/>
            <w:noWrap/>
            <w:vAlign w:val="center"/>
          </w:tcPr>
          <w:p w14:paraId="5F0B9FF4">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20</w:t>
            </w:r>
            <w:r>
              <w:rPr>
                <w:rFonts w:hint="eastAsia" w:ascii="等线" w:hAnsi="等线" w:eastAsia="等线" w:cs="宋体"/>
                <w:color w:val="000000"/>
                <w:kern w:val="0"/>
                <w:sz w:val="22"/>
                <w:szCs w:val="22"/>
                <w:lang w:val="en-US" w:eastAsia="zh-CN"/>
              </w:rPr>
              <w:t>.00</w:t>
            </w:r>
          </w:p>
        </w:tc>
        <w:tc>
          <w:tcPr>
            <w:tcW w:w="1277" w:type="pct"/>
            <w:tcBorders>
              <w:top w:val="nil"/>
              <w:left w:val="nil"/>
              <w:bottom w:val="single" w:color="auto" w:sz="4" w:space="0"/>
              <w:right w:val="single" w:color="auto" w:sz="4" w:space="0"/>
            </w:tcBorders>
            <w:shd w:val="clear" w:color="auto" w:fill="auto"/>
            <w:noWrap/>
            <w:vAlign w:val="center"/>
          </w:tcPr>
          <w:p w14:paraId="5C0441B5">
            <w:pPr>
              <w:pageBreakBefore w:val="0"/>
              <w:widowControl/>
              <w:kinsoku/>
              <w:wordWrap/>
              <w:overflowPunct/>
              <w:topLinePunct w:val="0"/>
              <w:autoSpaceDE/>
              <w:autoSpaceDN/>
              <w:bidi w:val="0"/>
              <w:jc w:val="center"/>
              <w:textAlignment w:val="auto"/>
              <w:rPr>
                <w:rFonts w:hint="eastAsia" w:ascii="等线" w:hAnsi="等线" w:eastAsia="等线" w:cs="宋体"/>
                <w:color w:val="000000"/>
                <w:kern w:val="0"/>
                <w:sz w:val="22"/>
                <w:szCs w:val="22"/>
              </w:rPr>
            </w:pPr>
            <w:r>
              <w:rPr>
                <w:rFonts w:hint="eastAsia" w:ascii="等线" w:hAnsi="等线" w:eastAsia="等线" w:cs="宋体"/>
                <w:color w:val="000000"/>
                <w:kern w:val="0"/>
                <w:sz w:val="22"/>
                <w:szCs w:val="22"/>
              </w:rPr>
              <w:t>1</w:t>
            </w:r>
            <w:r>
              <w:rPr>
                <w:rFonts w:hint="eastAsia" w:ascii="等线" w:hAnsi="等线" w:eastAsia="等线" w:cs="宋体"/>
                <w:color w:val="000000"/>
                <w:kern w:val="0"/>
                <w:sz w:val="22"/>
                <w:szCs w:val="22"/>
                <w:lang w:val="en-US" w:eastAsia="zh-CN"/>
              </w:rPr>
              <w:t>9</w:t>
            </w:r>
            <w:r>
              <w:rPr>
                <w:rFonts w:hint="eastAsia" w:ascii="等线" w:hAnsi="等线" w:eastAsia="等线" w:cs="宋体"/>
                <w:color w:val="000000"/>
                <w:kern w:val="0"/>
                <w:sz w:val="22"/>
                <w:szCs w:val="22"/>
              </w:rPr>
              <w:t>.</w:t>
            </w:r>
            <w:r>
              <w:rPr>
                <w:rFonts w:hint="eastAsia" w:ascii="等线" w:hAnsi="等线" w:eastAsia="等线" w:cs="宋体"/>
                <w:color w:val="000000"/>
                <w:kern w:val="0"/>
                <w:sz w:val="22"/>
                <w:szCs w:val="22"/>
                <w:lang w:val="en-US" w:eastAsia="zh-CN"/>
              </w:rPr>
              <w:t>98</w:t>
            </w:r>
          </w:p>
        </w:tc>
      </w:tr>
      <w:tr w14:paraId="01F912F7">
        <w:tblPrEx>
          <w:tblCellMar>
            <w:top w:w="0" w:type="dxa"/>
            <w:left w:w="108" w:type="dxa"/>
            <w:bottom w:w="0" w:type="dxa"/>
            <w:right w:w="108" w:type="dxa"/>
          </w:tblCellMar>
        </w:tblPrEx>
        <w:trPr>
          <w:trHeight w:val="397" w:hRule="exact"/>
        </w:trPr>
        <w:tc>
          <w:tcPr>
            <w:tcW w:w="996" w:type="pct"/>
            <w:tcBorders>
              <w:top w:val="nil"/>
              <w:left w:val="single" w:color="auto" w:sz="4" w:space="0"/>
              <w:bottom w:val="single" w:color="auto" w:sz="4" w:space="0"/>
              <w:right w:val="single" w:color="auto" w:sz="4" w:space="0"/>
            </w:tcBorders>
            <w:shd w:val="clear" w:color="auto" w:fill="auto"/>
            <w:noWrap/>
            <w:vAlign w:val="center"/>
          </w:tcPr>
          <w:p w14:paraId="4EB8BFED">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二</w:t>
            </w:r>
          </w:p>
        </w:tc>
        <w:tc>
          <w:tcPr>
            <w:tcW w:w="1563" w:type="pct"/>
            <w:tcBorders>
              <w:top w:val="nil"/>
              <w:left w:val="nil"/>
              <w:bottom w:val="single" w:color="auto" w:sz="4" w:space="0"/>
              <w:right w:val="single" w:color="auto" w:sz="4" w:space="0"/>
            </w:tcBorders>
            <w:shd w:val="clear" w:color="auto" w:fill="auto"/>
            <w:noWrap/>
            <w:vAlign w:val="center"/>
          </w:tcPr>
          <w:p w14:paraId="20A7CDC0">
            <w:pPr>
              <w:pageBreakBefore w:val="0"/>
              <w:widowControl/>
              <w:kinsoku/>
              <w:wordWrap/>
              <w:overflowPunct/>
              <w:topLinePunct w:val="0"/>
              <w:autoSpaceDE/>
              <w:autoSpaceDN/>
              <w:bidi w:val="0"/>
              <w:jc w:val="left"/>
              <w:textAlignment w:val="auto"/>
              <w:rPr>
                <w:rFonts w:ascii="宋体" w:hAnsi="宋体" w:cs="宋体"/>
                <w:color w:val="000000"/>
                <w:kern w:val="0"/>
                <w:sz w:val="20"/>
                <w:szCs w:val="20"/>
              </w:rPr>
            </w:pPr>
            <w:r>
              <w:rPr>
                <w:rFonts w:hint="eastAsia" w:ascii="宋体" w:hAnsi="宋体" w:cs="宋体"/>
                <w:color w:val="000000"/>
                <w:kern w:val="0"/>
                <w:sz w:val="20"/>
                <w:szCs w:val="20"/>
              </w:rPr>
              <w:t>整体绩效目标实现情况</w:t>
            </w:r>
          </w:p>
        </w:tc>
        <w:tc>
          <w:tcPr>
            <w:tcW w:w="1164" w:type="pct"/>
            <w:tcBorders>
              <w:top w:val="nil"/>
              <w:left w:val="nil"/>
              <w:bottom w:val="single" w:color="auto" w:sz="4" w:space="0"/>
              <w:right w:val="single" w:color="auto" w:sz="4" w:space="0"/>
            </w:tcBorders>
            <w:shd w:val="clear" w:color="auto" w:fill="auto"/>
            <w:noWrap/>
            <w:vAlign w:val="center"/>
          </w:tcPr>
          <w:p w14:paraId="608D12BE">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60</w:t>
            </w:r>
            <w:r>
              <w:rPr>
                <w:rFonts w:hint="eastAsia" w:ascii="等线" w:hAnsi="等线" w:eastAsia="等线" w:cs="宋体"/>
                <w:color w:val="000000"/>
                <w:kern w:val="0"/>
                <w:sz w:val="22"/>
                <w:szCs w:val="22"/>
                <w:lang w:val="en-US" w:eastAsia="zh-CN"/>
              </w:rPr>
              <w:t>.00</w:t>
            </w:r>
          </w:p>
        </w:tc>
        <w:tc>
          <w:tcPr>
            <w:tcW w:w="1277" w:type="pct"/>
            <w:tcBorders>
              <w:top w:val="nil"/>
              <w:left w:val="nil"/>
              <w:bottom w:val="single" w:color="auto" w:sz="4" w:space="0"/>
              <w:right w:val="single" w:color="auto" w:sz="4" w:space="0"/>
            </w:tcBorders>
            <w:shd w:val="clear" w:color="auto" w:fill="auto"/>
            <w:noWrap/>
            <w:vAlign w:val="center"/>
          </w:tcPr>
          <w:p w14:paraId="1F14F49E">
            <w:pPr>
              <w:pageBreakBefore w:val="0"/>
              <w:widowControl/>
              <w:kinsoku/>
              <w:wordWrap/>
              <w:overflowPunct/>
              <w:topLinePunct w:val="0"/>
              <w:autoSpaceDE/>
              <w:autoSpaceDN/>
              <w:bidi w:val="0"/>
              <w:jc w:val="center"/>
              <w:textAlignment w:val="auto"/>
              <w:rPr>
                <w:rFonts w:hint="default" w:ascii="等线" w:hAnsi="等线" w:eastAsia="等线" w:cs="宋体"/>
                <w:color w:val="000000"/>
                <w:kern w:val="0"/>
                <w:sz w:val="22"/>
                <w:szCs w:val="22"/>
                <w:lang w:val="en-US" w:eastAsia="zh-CN"/>
              </w:rPr>
            </w:pPr>
            <w:r>
              <w:rPr>
                <w:rFonts w:hint="eastAsia" w:ascii="等线" w:hAnsi="等线" w:eastAsia="等线" w:cs="宋体"/>
                <w:color w:val="000000"/>
                <w:kern w:val="0"/>
                <w:sz w:val="22"/>
                <w:szCs w:val="22"/>
              </w:rPr>
              <w:t>5</w:t>
            </w:r>
            <w:r>
              <w:rPr>
                <w:rFonts w:hint="eastAsia" w:ascii="等线" w:hAnsi="等线" w:eastAsia="等线" w:cs="宋体"/>
                <w:color w:val="000000"/>
                <w:kern w:val="0"/>
                <w:sz w:val="22"/>
                <w:szCs w:val="22"/>
                <w:lang w:val="en-US" w:eastAsia="zh-CN"/>
              </w:rPr>
              <w:t>4.00</w:t>
            </w:r>
          </w:p>
        </w:tc>
      </w:tr>
      <w:tr w14:paraId="2A44173A">
        <w:tblPrEx>
          <w:tblCellMar>
            <w:top w:w="0" w:type="dxa"/>
            <w:left w:w="108" w:type="dxa"/>
            <w:bottom w:w="0" w:type="dxa"/>
            <w:right w:w="108" w:type="dxa"/>
          </w:tblCellMar>
        </w:tblPrEx>
        <w:trPr>
          <w:trHeight w:val="397" w:hRule="exact"/>
        </w:trPr>
        <w:tc>
          <w:tcPr>
            <w:tcW w:w="996" w:type="pct"/>
            <w:tcBorders>
              <w:top w:val="nil"/>
              <w:left w:val="single" w:color="auto" w:sz="4" w:space="0"/>
              <w:bottom w:val="single" w:color="auto" w:sz="4" w:space="0"/>
              <w:right w:val="single" w:color="auto" w:sz="4" w:space="0"/>
            </w:tcBorders>
            <w:shd w:val="clear" w:color="auto" w:fill="auto"/>
            <w:noWrap/>
            <w:vAlign w:val="center"/>
          </w:tcPr>
          <w:p w14:paraId="4B593EBC">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三</w:t>
            </w:r>
          </w:p>
        </w:tc>
        <w:tc>
          <w:tcPr>
            <w:tcW w:w="1563" w:type="pct"/>
            <w:tcBorders>
              <w:top w:val="nil"/>
              <w:left w:val="nil"/>
              <w:bottom w:val="single" w:color="auto" w:sz="4" w:space="0"/>
              <w:right w:val="single" w:color="auto" w:sz="4" w:space="0"/>
            </w:tcBorders>
            <w:shd w:val="clear" w:color="auto" w:fill="auto"/>
            <w:noWrap/>
            <w:vAlign w:val="center"/>
          </w:tcPr>
          <w:p w14:paraId="39C88432">
            <w:pPr>
              <w:pageBreakBefore w:val="0"/>
              <w:widowControl/>
              <w:kinsoku/>
              <w:wordWrap/>
              <w:overflowPunct/>
              <w:topLinePunct w:val="0"/>
              <w:autoSpaceDE/>
              <w:autoSpaceDN/>
              <w:bidi w:val="0"/>
              <w:jc w:val="left"/>
              <w:textAlignment w:val="auto"/>
              <w:rPr>
                <w:rFonts w:ascii="宋体" w:hAnsi="宋体" w:cs="宋体"/>
                <w:color w:val="000000"/>
                <w:kern w:val="0"/>
                <w:sz w:val="20"/>
                <w:szCs w:val="20"/>
              </w:rPr>
            </w:pPr>
            <w:r>
              <w:rPr>
                <w:rFonts w:hint="eastAsia" w:ascii="宋体" w:hAnsi="宋体" w:cs="宋体"/>
                <w:color w:val="000000"/>
                <w:kern w:val="0"/>
                <w:sz w:val="20"/>
                <w:szCs w:val="20"/>
              </w:rPr>
              <w:t>预算管理情况</w:t>
            </w:r>
          </w:p>
        </w:tc>
        <w:tc>
          <w:tcPr>
            <w:tcW w:w="1164" w:type="pct"/>
            <w:tcBorders>
              <w:top w:val="nil"/>
              <w:left w:val="nil"/>
              <w:bottom w:val="single" w:color="auto" w:sz="4" w:space="0"/>
              <w:right w:val="single" w:color="auto" w:sz="4" w:space="0"/>
            </w:tcBorders>
            <w:shd w:val="clear" w:color="auto" w:fill="auto"/>
            <w:noWrap/>
            <w:vAlign w:val="center"/>
          </w:tcPr>
          <w:p w14:paraId="5C845119">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20</w:t>
            </w:r>
            <w:r>
              <w:rPr>
                <w:rFonts w:hint="eastAsia" w:ascii="等线" w:hAnsi="等线" w:eastAsia="等线" w:cs="宋体"/>
                <w:color w:val="000000"/>
                <w:kern w:val="0"/>
                <w:sz w:val="22"/>
                <w:szCs w:val="22"/>
                <w:lang w:val="en-US" w:eastAsia="zh-CN"/>
              </w:rPr>
              <w:t>.00</w:t>
            </w:r>
          </w:p>
        </w:tc>
        <w:tc>
          <w:tcPr>
            <w:tcW w:w="1277" w:type="pct"/>
            <w:tcBorders>
              <w:top w:val="nil"/>
              <w:left w:val="nil"/>
              <w:bottom w:val="single" w:color="auto" w:sz="4" w:space="0"/>
              <w:right w:val="single" w:color="auto" w:sz="4" w:space="0"/>
            </w:tcBorders>
            <w:shd w:val="clear" w:color="auto" w:fill="auto"/>
            <w:noWrap/>
            <w:vAlign w:val="center"/>
          </w:tcPr>
          <w:p w14:paraId="5B280B3D">
            <w:pPr>
              <w:pageBreakBefore w:val="0"/>
              <w:widowControl/>
              <w:kinsoku/>
              <w:wordWrap/>
              <w:overflowPunct/>
              <w:topLinePunct w:val="0"/>
              <w:autoSpaceDE/>
              <w:autoSpaceDN/>
              <w:bidi w:val="0"/>
              <w:jc w:val="center"/>
              <w:textAlignment w:val="auto"/>
              <w:rPr>
                <w:rFonts w:hint="default" w:ascii="等线" w:hAnsi="等线" w:eastAsia="等线" w:cs="宋体"/>
                <w:color w:val="000000"/>
                <w:kern w:val="0"/>
                <w:sz w:val="22"/>
                <w:szCs w:val="22"/>
                <w:lang w:val="en-US" w:eastAsia="zh-CN"/>
              </w:rPr>
            </w:pPr>
            <w:r>
              <w:rPr>
                <w:rFonts w:hint="eastAsia" w:ascii="等线" w:hAnsi="等线" w:eastAsia="等线" w:cs="宋体"/>
                <w:color w:val="000000"/>
                <w:kern w:val="0"/>
                <w:sz w:val="22"/>
                <w:szCs w:val="22"/>
                <w:lang w:val="en-US" w:eastAsia="zh-CN"/>
              </w:rPr>
              <w:t>18.90</w:t>
            </w:r>
          </w:p>
        </w:tc>
      </w:tr>
      <w:tr w14:paraId="2C874ED9">
        <w:tblPrEx>
          <w:tblCellMar>
            <w:top w:w="0" w:type="dxa"/>
            <w:left w:w="108" w:type="dxa"/>
            <w:bottom w:w="0" w:type="dxa"/>
            <w:right w:w="108" w:type="dxa"/>
          </w:tblCellMar>
        </w:tblPrEx>
        <w:trPr>
          <w:trHeight w:val="397" w:hRule="exact"/>
        </w:trPr>
        <w:tc>
          <w:tcPr>
            <w:tcW w:w="2559" w:type="pct"/>
            <w:gridSpan w:val="2"/>
            <w:tcBorders>
              <w:top w:val="single" w:color="auto" w:sz="4" w:space="0"/>
              <w:left w:val="single" w:color="auto" w:sz="4" w:space="0"/>
              <w:bottom w:val="single" w:color="auto" w:sz="4" w:space="0"/>
              <w:right w:val="single" w:color="000000" w:sz="4" w:space="0"/>
            </w:tcBorders>
            <w:shd w:val="clear" w:color="000000" w:fill="F2F2F2"/>
            <w:noWrap/>
            <w:vAlign w:val="center"/>
          </w:tcPr>
          <w:p w14:paraId="113BCD69">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总计</w:t>
            </w:r>
          </w:p>
        </w:tc>
        <w:tc>
          <w:tcPr>
            <w:tcW w:w="1164" w:type="pct"/>
            <w:tcBorders>
              <w:top w:val="nil"/>
              <w:left w:val="nil"/>
              <w:bottom w:val="single" w:color="auto" w:sz="4" w:space="0"/>
              <w:right w:val="single" w:color="auto" w:sz="4" w:space="0"/>
            </w:tcBorders>
            <w:shd w:val="clear" w:color="000000" w:fill="F2F2F2"/>
            <w:noWrap/>
            <w:vAlign w:val="center"/>
          </w:tcPr>
          <w:p w14:paraId="3E43F79B">
            <w:pPr>
              <w:pageBreakBefore w:val="0"/>
              <w:widowControl/>
              <w:kinsoku/>
              <w:wordWrap/>
              <w:overflowPunct/>
              <w:topLinePunct w:val="0"/>
              <w:autoSpaceDE/>
              <w:autoSpaceDN/>
              <w:bidi w:val="0"/>
              <w:jc w:val="center"/>
              <w:textAlignment w:val="auto"/>
              <w:rPr>
                <w:rFonts w:ascii="等线" w:hAnsi="等线" w:eastAsia="等线" w:cs="宋体"/>
                <w:color w:val="000000"/>
                <w:kern w:val="0"/>
                <w:sz w:val="22"/>
                <w:szCs w:val="22"/>
              </w:rPr>
            </w:pPr>
            <w:r>
              <w:rPr>
                <w:rFonts w:hint="eastAsia" w:ascii="等线" w:hAnsi="等线" w:eastAsia="等线" w:cs="宋体"/>
                <w:color w:val="000000"/>
                <w:kern w:val="0"/>
                <w:sz w:val="22"/>
                <w:szCs w:val="22"/>
              </w:rPr>
              <w:t>100</w:t>
            </w:r>
            <w:r>
              <w:rPr>
                <w:rFonts w:hint="eastAsia" w:ascii="等线" w:hAnsi="等线" w:eastAsia="等线" w:cs="宋体"/>
                <w:color w:val="000000"/>
                <w:kern w:val="0"/>
                <w:sz w:val="22"/>
                <w:szCs w:val="22"/>
                <w:lang w:val="en-US" w:eastAsia="zh-CN"/>
              </w:rPr>
              <w:t>.00</w:t>
            </w:r>
          </w:p>
        </w:tc>
        <w:tc>
          <w:tcPr>
            <w:tcW w:w="1277" w:type="pct"/>
            <w:tcBorders>
              <w:top w:val="nil"/>
              <w:left w:val="nil"/>
              <w:bottom w:val="single" w:color="auto" w:sz="4" w:space="0"/>
              <w:right w:val="single" w:color="auto" w:sz="4" w:space="0"/>
            </w:tcBorders>
            <w:shd w:val="clear" w:color="000000" w:fill="F2F2F2"/>
            <w:noWrap/>
            <w:vAlign w:val="center"/>
          </w:tcPr>
          <w:p w14:paraId="507ED391">
            <w:pPr>
              <w:pageBreakBefore w:val="0"/>
              <w:widowControl/>
              <w:kinsoku/>
              <w:wordWrap/>
              <w:overflowPunct/>
              <w:topLinePunct w:val="0"/>
              <w:autoSpaceDE/>
              <w:autoSpaceDN/>
              <w:bidi w:val="0"/>
              <w:jc w:val="center"/>
              <w:textAlignment w:val="auto"/>
              <w:rPr>
                <w:rFonts w:hint="default" w:ascii="等线" w:hAnsi="等线" w:eastAsia="等线" w:cs="宋体"/>
                <w:color w:val="000000"/>
                <w:kern w:val="0"/>
                <w:sz w:val="22"/>
                <w:szCs w:val="22"/>
                <w:lang w:val="en-US" w:eastAsia="zh-CN"/>
              </w:rPr>
            </w:pPr>
            <w:r>
              <w:rPr>
                <w:rFonts w:hint="eastAsia" w:ascii="等线" w:hAnsi="等线" w:eastAsia="等线" w:cs="宋体"/>
                <w:color w:val="000000"/>
                <w:kern w:val="0"/>
                <w:sz w:val="22"/>
                <w:szCs w:val="22"/>
              </w:rPr>
              <w:t>9</w:t>
            </w:r>
            <w:r>
              <w:rPr>
                <w:rFonts w:hint="eastAsia" w:ascii="等线" w:hAnsi="等线" w:eastAsia="等线" w:cs="宋体"/>
                <w:color w:val="000000"/>
                <w:kern w:val="0"/>
                <w:sz w:val="22"/>
                <w:szCs w:val="22"/>
                <w:lang w:val="en-US" w:eastAsia="zh-CN"/>
              </w:rPr>
              <w:t>2</w:t>
            </w:r>
            <w:r>
              <w:rPr>
                <w:rFonts w:hint="eastAsia" w:ascii="等线" w:hAnsi="等线" w:eastAsia="等线" w:cs="宋体"/>
                <w:color w:val="000000"/>
                <w:kern w:val="0"/>
                <w:sz w:val="22"/>
                <w:szCs w:val="22"/>
              </w:rPr>
              <w:t>.</w:t>
            </w:r>
            <w:r>
              <w:rPr>
                <w:rFonts w:hint="eastAsia" w:ascii="等线" w:hAnsi="等线" w:eastAsia="等线" w:cs="宋体"/>
                <w:color w:val="000000"/>
                <w:kern w:val="0"/>
                <w:sz w:val="22"/>
                <w:szCs w:val="22"/>
                <w:lang w:val="en-US" w:eastAsia="zh-CN"/>
              </w:rPr>
              <w:t>88</w:t>
            </w:r>
          </w:p>
        </w:tc>
      </w:tr>
    </w:tbl>
    <w:p w14:paraId="49DCAC10">
      <w:pPr>
        <w:spacing w:line="600" w:lineRule="exact"/>
        <w:rPr>
          <w:rFonts w:hint="eastAsia" w:ascii="楷体_GB2312" w:eastAsia="楷体_GB2312"/>
          <w:sz w:val="32"/>
          <w:szCs w:val="32"/>
        </w:rPr>
      </w:pPr>
    </w:p>
    <w:p w14:paraId="60E63DD7">
      <w:pPr>
        <w:numPr>
          <w:ilvl w:val="0"/>
          <w:numId w:val="4"/>
        </w:numPr>
        <w:spacing w:line="600" w:lineRule="exact"/>
        <w:ind w:left="0" w:leftChars="0" w:firstLine="640" w:firstLineChars="200"/>
        <w:rPr>
          <w:rFonts w:hint="eastAsia" w:ascii="楷体_GB2312" w:eastAsia="楷体_GB2312"/>
          <w:sz w:val="32"/>
          <w:szCs w:val="32"/>
        </w:rPr>
      </w:pPr>
      <w:r>
        <w:rPr>
          <w:rFonts w:hint="eastAsia" w:ascii="楷体_GB2312" w:eastAsia="楷体_GB2312"/>
          <w:sz w:val="32"/>
          <w:szCs w:val="32"/>
        </w:rPr>
        <w:t>存在的问题及原因分析</w:t>
      </w:r>
    </w:p>
    <w:p w14:paraId="33494061">
      <w:pPr>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楷体_GB2312" w:eastAsia="楷体_GB2312"/>
          <w:sz w:val="32"/>
          <w:szCs w:val="32"/>
        </w:rPr>
      </w:pPr>
      <w:r>
        <w:rPr>
          <w:rFonts w:hint="eastAsia" w:ascii="仿宋_GB2312" w:hAnsi="仿宋_GB2312" w:eastAsia="仿宋_GB2312" w:cs="仿宋_GB2312"/>
          <w:sz w:val="32"/>
          <w:szCs w:val="32"/>
          <w:lang w:val="en-US" w:eastAsia="zh-CN"/>
        </w:rPr>
        <w:t>一是</w:t>
      </w:r>
      <w:r>
        <w:rPr>
          <w:rFonts w:hint="eastAsia" w:ascii="仿宋_GB2312" w:hAnsi="宋体" w:eastAsia="仿宋_GB2312" w:cs="宋体"/>
          <w:kern w:val="0"/>
          <w:sz w:val="32"/>
          <w:szCs w:val="32"/>
        </w:rPr>
        <w:t>预算绩效目标编制工作有待进一步提升</w:t>
      </w:r>
      <w:r>
        <w:rPr>
          <w:rFonts w:hint="eastAsia" w:ascii="仿宋_GB2312" w:hAnsi="宋体" w:eastAsia="仿宋_GB2312" w:cs="宋体"/>
          <w:kern w:val="0"/>
          <w:sz w:val="32"/>
          <w:szCs w:val="32"/>
          <w:lang w:eastAsia="zh-CN"/>
        </w:rPr>
        <w:t>。</w:t>
      </w:r>
      <w:r>
        <w:rPr>
          <w:rFonts w:hint="eastAsia" w:ascii="仿宋_GB2312" w:eastAsia="仿宋_GB2312"/>
          <w:sz w:val="32"/>
          <w:szCs w:val="32"/>
        </w:rPr>
        <w:t>个别项目绩效指标的细化程度及量化不足，效益指标设置较为宏观</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二是</w:t>
      </w:r>
      <w:r>
        <w:rPr>
          <w:rFonts w:hint="eastAsia" w:ascii="仿宋_GB2312" w:hAnsi="宋体" w:eastAsia="仿宋_GB2312" w:cs="宋体"/>
          <w:kern w:val="0"/>
          <w:sz w:val="32"/>
          <w:szCs w:val="32"/>
        </w:rPr>
        <w:t>项目</w:t>
      </w:r>
      <w:r>
        <w:rPr>
          <w:rFonts w:hint="eastAsia" w:ascii="仿宋_GB2312" w:eastAsia="仿宋_GB2312"/>
          <w:sz w:val="32"/>
          <w:szCs w:val="32"/>
        </w:rPr>
        <w:t>绩效信息</w:t>
      </w:r>
      <w:r>
        <w:rPr>
          <w:rFonts w:hint="eastAsia" w:ascii="仿宋_GB2312" w:hAnsi="宋体" w:eastAsia="仿宋_GB2312" w:cs="宋体"/>
          <w:kern w:val="0"/>
          <w:sz w:val="32"/>
          <w:szCs w:val="32"/>
        </w:rPr>
        <w:t>有待进一步完善。个别</w:t>
      </w:r>
      <w:r>
        <w:rPr>
          <w:rFonts w:hint="eastAsia" w:ascii="仿宋_GB2312" w:eastAsia="仿宋_GB2312"/>
          <w:sz w:val="32"/>
          <w:szCs w:val="32"/>
        </w:rPr>
        <w:t>项目绩效成果和满意度调查的统计分析还不够充分</w:t>
      </w:r>
      <w:r>
        <w:rPr>
          <w:rFonts w:hint="eastAsia" w:ascii="仿宋_GB2312" w:eastAsia="仿宋_GB2312"/>
          <w:sz w:val="32"/>
          <w:szCs w:val="32"/>
          <w:lang w:eastAsia="zh-CN"/>
        </w:rPr>
        <w:t>，</w:t>
      </w:r>
      <w:r>
        <w:rPr>
          <w:rFonts w:hint="eastAsia" w:ascii="仿宋_GB2312" w:eastAsia="仿宋_GB2312"/>
          <w:sz w:val="32"/>
          <w:szCs w:val="32"/>
        </w:rPr>
        <w:t>不利于后期考核</w:t>
      </w:r>
      <w:r>
        <w:rPr>
          <w:rFonts w:hint="eastAsia" w:ascii="仿宋_GB2312" w:eastAsia="仿宋_GB2312"/>
          <w:sz w:val="32"/>
          <w:szCs w:val="32"/>
          <w:lang w:val="en-US" w:eastAsia="zh-CN"/>
        </w:rPr>
        <w:t>。</w:t>
      </w:r>
    </w:p>
    <w:p w14:paraId="412050CA">
      <w:pPr>
        <w:spacing w:line="600" w:lineRule="exact"/>
        <w:ind w:firstLine="640" w:firstLineChars="200"/>
        <w:rPr>
          <w:rFonts w:hint="eastAsia" w:ascii="仿宋_GB2312" w:hAnsi="宋体" w:eastAsia="仿宋_GB2312" w:cs="宋体"/>
          <w:color w:val="000000"/>
          <w:kern w:val="0"/>
          <w:sz w:val="32"/>
          <w:szCs w:val="32"/>
        </w:rPr>
      </w:pPr>
      <w:r>
        <w:rPr>
          <w:rFonts w:hint="eastAsia" w:ascii="黑体" w:hAnsi="黑体" w:eastAsia="黑体" w:cs="宋体"/>
          <w:color w:val="000000"/>
          <w:kern w:val="0"/>
          <w:sz w:val="32"/>
          <w:szCs w:val="32"/>
        </w:rPr>
        <w:t>六、措施建议</w:t>
      </w:r>
    </w:p>
    <w:p w14:paraId="4D70CA83">
      <w:pPr>
        <w:pageBreakBefore w:val="0"/>
        <w:kinsoku/>
        <w:wordWrap/>
        <w:overflowPunct/>
        <w:topLinePunct w:val="0"/>
        <w:autoSpaceDE/>
        <w:autoSpaceDN/>
        <w:bidi w:val="0"/>
        <w:adjustRightInd w:val="0"/>
        <w:snapToGrid w:val="0"/>
        <w:spacing w:line="360" w:lineRule="auto"/>
        <w:ind w:firstLine="640" w:firstLineChars="200"/>
        <w:textAlignment w:val="auto"/>
        <w:rPr>
          <w:rFonts w:hint="eastAsia" w:ascii="仿宋_GB2312" w:eastAsia="仿宋_GB2312"/>
          <w:sz w:val="32"/>
          <w:szCs w:val="32"/>
        </w:rPr>
      </w:pPr>
      <w:r>
        <w:rPr>
          <w:rFonts w:hint="eastAsia" w:ascii="仿宋_GB2312" w:eastAsia="仿宋_GB2312"/>
          <w:sz w:val="32"/>
          <w:szCs w:val="32"/>
          <w:lang w:val="en-US" w:eastAsia="zh-CN"/>
        </w:rPr>
        <w:t>一是优化绩效目标设置，筑牢绩效管理工作基础。结合财政政策更新及统战工作实际，依托绩效监控与评价结果动态调整完善年度绩效指标。二是统筹归集绩效成果，强化结果运用。全面梳理提炼项目实施综合成效，全方位展示绩效完成情况。</w:t>
      </w:r>
    </w:p>
    <w:p w14:paraId="3A4712C5">
      <w:pPr>
        <w:spacing w:line="520" w:lineRule="exact"/>
        <w:rPr>
          <w:rFonts w:hint="eastAsia" w:ascii="仿宋_GB2312" w:hAnsi="宋体" w:eastAsia="仿宋_GB2312" w:cs="宋体"/>
          <w:color w:val="000000"/>
          <w:kern w:val="0"/>
          <w:sz w:val="32"/>
          <w:szCs w:val="32"/>
        </w:rPr>
      </w:pPr>
    </w:p>
    <w:sectPr>
      <w:footerReference r:id="rId3" w:type="default"/>
      <w:footerReference r:id="rId4"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A4E4F">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23</w:t>
    </w:r>
    <w:r>
      <w:fldChar w:fldCharType="end"/>
    </w:r>
  </w:p>
  <w:p w14:paraId="02D7AF3C">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46726">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15</w:t>
    </w:r>
    <w:r>
      <w:fldChar w:fldCharType="end"/>
    </w:r>
  </w:p>
  <w:p w14:paraId="24DEF2DC">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82BAF"/>
    <w:multiLevelType w:val="singleLevel"/>
    <w:tmpl w:val="9F982BAF"/>
    <w:lvl w:ilvl="0" w:tentative="0">
      <w:start w:val="2"/>
      <w:numFmt w:val="decimal"/>
      <w:lvlText w:val="%1."/>
      <w:lvlJc w:val="left"/>
      <w:pPr>
        <w:tabs>
          <w:tab w:val="left" w:pos="312"/>
        </w:tabs>
      </w:pPr>
    </w:lvl>
  </w:abstractNum>
  <w:abstractNum w:abstractNumId="1">
    <w:nsid w:val="D6563A7B"/>
    <w:multiLevelType w:val="singleLevel"/>
    <w:tmpl w:val="D6563A7B"/>
    <w:lvl w:ilvl="0" w:tentative="0">
      <w:start w:val="2"/>
      <w:numFmt w:val="chineseCounting"/>
      <w:suff w:val="nothing"/>
      <w:lvlText w:val="（%1）"/>
      <w:lvlJc w:val="left"/>
      <w:rPr>
        <w:rFonts w:hint="eastAsia"/>
      </w:rPr>
    </w:lvl>
  </w:abstractNum>
  <w:abstractNum w:abstractNumId="2">
    <w:nsid w:val="E73A1079"/>
    <w:multiLevelType w:val="singleLevel"/>
    <w:tmpl w:val="E73A1079"/>
    <w:lvl w:ilvl="0" w:tentative="0">
      <w:start w:val="2"/>
      <w:numFmt w:val="chineseCounting"/>
      <w:suff w:val="nothing"/>
      <w:lvlText w:val="（%1）"/>
      <w:lvlJc w:val="left"/>
      <w:rPr>
        <w:rFonts w:hint="eastAsia"/>
      </w:rPr>
    </w:lvl>
  </w:abstractNum>
  <w:abstractNum w:abstractNumId="3">
    <w:nsid w:val="4A494C76"/>
    <w:multiLevelType w:val="singleLevel"/>
    <w:tmpl w:val="4A494C76"/>
    <w:lvl w:ilvl="0" w:tentative="0">
      <w:start w:val="2"/>
      <w:numFmt w:val="chineseCounting"/>
      <w:suff w:val="nothing"/>
      <w:lvlText w:val="（%1）"/>
      <w:lvlJc w:val="left"/>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6830DB"/>
    <w:rsid w:val="33FE61D5"/>
    <w:rsid w:val="417D5362"/>
    <w:rsid w:val="53696F17"/>
    <w:rsid w:val="577322E4"/>
    <w:rsid w:val="5B194E94"/>
    <w:rsid w:val="5E357C9B"/>
    <w:rsid w:val="69202B13"/>
    <w:rsid w:val="69AF4A7B"/>
    <w:rsid w:val="7D104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paragraph" w:styleId="2">
    <w:name w:val="heading 2"/>
    <w:basedOn w:val="1"/>
    <w:next w:val="1"/>
    <w:qFormat/>
    <w:uiPriority w:val="0"/>
    <w:pPr>
      <w:keepNext/>
      <w:keepLines/>
      <w:widowControl w:val="0"/>
      <w:spacing w:before="100" w:beforeAutospacing="1" w:after="100" w:afterAutospacing="1"/>
      <w:outlineLvl w:val="1"/>
    </w:pPr>
    <w:rPr>
      <w:rFonts w:ascii="Cambria" w:hAnsi="Cambria" w:eastAsia="黑体" w:cs="Times New Roman"/>
      <w:b/>
      <w:bCs/>
      <w:kern w:val="0"/>
      <w:sz w:val="36"/>
      <w:szCs w:val="32"/>
      <w:lang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2372</Words>
  <Characters>2539</Characters>
  <Lines>0</Lines>
  <Paragraphs>0</Paragraphs>
  <TotalTime>63</TotalTime>
  <ScaleCrop>false</ScaleCrop>
  <LinksUpToDate>false</LinksUpToDate>
  <CharactersWithSpaces>2567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2026-08-07T02:26:00Z</dcterms:created>
  <dc:creator>Administrator</dc:creator>
  <cp:lastModifiedBy>王丽娜</cp:lastModifiedBy>
  <dcterms:modified xsi:type="dcterms:W3CDTF">2026-08-27T07:46:19Z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F4C1D3CB79FB439A8AE118E4E72C900E_12</vt:lpwstr>
  </property>
  <property fmtid="{D5CDD505-2E9C-101B-9397-08002B2CF9AE}" pid="4" name="KSOTemplateDocerSaveRecord">
    <vt:lpwstr>eyJoZGlkIjoiYmM5NTliMjcwNjQ2OGRjMDk5MmM1MDQwOTg1ZGI5N2QiLCJ1c2VySWQiOiI5MzM5NDE3MTQifQ==</vt:lpwstr>
  </property>
</Properties>
</file>